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C897C" w14:textId="77777777" w:rsidR="00DB1AB3" w:rsidRPr="00110292" w:rsidRDefault="00DB1AB3" w:rsidP="00427308">
      <w:pPr>
        <w:pStyle w:val="Infotext"/>
        <w:spacing w:after="480"/>
        <w:jc w:val="both"/>
        <w:rPr>
          <w:rFonts w:ascii="Arial Black" w:hAnsi="Arial Black"/>
          <w:sz w:val="36"/>
          <w:szCs w:val="36"/>
        </w:rPr>
      </w:pPr>
      <w:r w:rsidRPr="00110292">
        <w:rPr>
          <w:noProof/>
        </w:rPr>
        <w:drawing>
          <wp:inline distT="0" distB="0" distL="0" distR="0" wp14:anchorId="33BAD087" wp14:editId="1BC4C70D">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W w:w="0" w:type="auto"/>
        <w:tblLook w:val="0000" w:firstRow="0" w:lastRow="0" w:firstColumn="0" w:lastColumn="0" w:noHBand="0" w:noVBand="0"/>
        <w:tblCaption w:val="Committee report details"/>
        <w:tblDescription w:val="Committee report detaals"/>
      </w:tblPr>
      <w:tblGrid>
        <w:gridCol w:w="3394"/>
        <w:gridCol w:w="4915"/>
      </w:tblGrid>
      <w:tr w:rsidR="00110292" w:rsidRPr="00110292" w14:paraId="73A0496E" w14:textId="77777777" w:rsidTr="00555292">
        <w:trPr>
          <w:tblHeader/>
        </w:trPr>
        <w:tc>
          <w:tcPr>
            <w:tcW w:w="3394" w:type="dxa"/>
            <w:tcBorders>
              <w:bottom w:val="single" w:sz="18" w:space="0" w:color="auto"/>
            </w:tcBorders>
          </w:tcPr>
          <w:p w14:paraId="747348DD" w14:textId="77777777" w:rsidR="005441BD" w:rsidRPr="00110292" w:rsidRDefault="00DB1AB3" w:rsidP="00427308">
            <w:pPr>
              <w:pStyle w:val="Heading1"/>
              <w:jc w:val="both"/>
            </w:pPr>
            <w:r w:rsidRPr="00110292">
              <w:t>Report for:</w:t>
            </w:r>
          </w:p>
          <w:p w14:paraId="05BF3901" w14:textId="77777777" w:rsidR="005441BD" w:rsidRPr="00110292" w:rsidRDefault="005441BD" w:rsidP="00427308">
            <w:pPr>
              <w:pStyle w:val="Heading1"/>
              <w:jc w:val="both"/>
            </w:pPr>
          </w:p>
        </w:tc>
        <w:tc>
          <w:tcPr>
            <w:tcW w:w="4915" w:type="dxa"/>
            <w:tcBorders>
              <w:bottom w:val="single" w:sz="18" w:space="0" w:color="auto"/>
            </w:tcBorders>
          </w:tcPr>
          <w:p w14:paraId="0ED09993" w14:textId="62EA0EF2" w:rsidR="00B26D5D" w:rsidRPr="00110292" w:rsidRDefault="001E4F2E" w:rsidP="00427308">
            <w:pPr>
              <w:pStyle w:val="Heading1"/>
              <w:jc w:val="both"/>
            </w:pPr>
            <w:r w:rsidRPr="00110292">
              <w:t>Employee</w:t>
            </w:r>
            <w:r w:rsidR="00583419">
              <w:t>s’</w:t>
            </w:r>
            <w:r w:rsidRPr="00110292">
              <w:t xml:space="preserve"> </w:t>
            </w:r>
            <w:r w:rsidR="00DB1AB3" w:rsidRPr="00110292">
              <w:t>Consultative Forum</w:t>
            </w:r>
          </w:p>
        </w:tc>
      </w:tr>
      <w:tr w:rsidR="00110292" w:rsidRPr="00110292" w14:paraId="1D86A18F" w14:textId="77777777" w:rsidTr="00555292">
        <w:tc>
          <w:tcPr>
            <w:tcW w:w="3394" w:type="dxa"/>
            <w:tcBorders>
              <w:top w:val="single" w:sz="18" w:space="0" w:color="auto"/>
            </w:tcBorders>
          </w:tcPr>
          <w:p w14:paraId="672E0788" w14:textId="77777777" w:rsidR="005441BD" w:rsidRPr="00110292" w:rsidRDefault="005441BD" w:rsidP="00427308">
            <w:pPr>
              <w:pStyle w:val="Infotext"/>
              <w:spacing w:after="240"/>
              <w:jc w:val="both"/>
              <w:rPr>
                <w:rFonts w:ascii="Arial Black" w:hAnsi="Arial Black" w:cs="Arial"/>
              </w:rPr>
            </w:pPr>
            <w:r w:rsidRPr="00110292">
              <w:rPr>
                <w:rFonts w:ascii="Arial Black" w:hAnsi="Arial Black"/>
              </w:rPr>
              <w:t>Date</w:t>
            </w:r>
            <w:r w:rsidR="007A012E" w:rsidRPr="00110292">
              <w:rPr>
                <w:rFonts w:ascii="Arial Black" w:hAnsi="Arial Black"/>
              </w:rPr>
              <w:t xml:space="preserve"> of Meeting</w:t>
            </w:r>
            <w:r w:rsidRPr="00110292">
              <w:rPr>
                <w:rFonts w:ascii="Arial Black" w:hAnsi="Arial Black"/>
              </w:rPr>
              <w:t>:</w:t>
            </w:r>
          </w:p>
        </w:tc>
        <w:tc>
          <w:tcPr>
            <w:tcW w:w="4915" w:type="dxa"/>
            <w:tcBorders>
              <w:top w:val="single" w:sz="18" w:space="0" w:color="auto"/>
            </w:tcBorders>
          </w:tcPr>
          <w:p w14:paraId="6BE3CEEF" w14:textId="18B0B5FA" w:rsidR="00B64FFA" w:rsidRPr="00110292" w:rsidRDefault="007846BF" w:rsidP="00427308">
            <w:pPr>
              <w:pStyle w:val="Infotext"/>
              <w:jc w:val="both"/>
              <w:rPr>
                <w:rFonts w:cs="Arial"/>
                <w:sz w:val="24"/>
                <w:szCs w:val="24"/>
              </w:rPr>
            </w:pPr>
            <w:r>
              <w:rPr>
                <w:rFonts w:cs="Arial"/>
                <w:sz w:val="24"/>
                <w:szCs w:val="24"/>
              </w:rPr>
              <w:t>12</w:t>
            </w:r>
            <w:r w:rsidR="00B64FFA" w:rsidRPr="00110292">
              <w:rPr>
                <w:rFonts w:cs="Arial"/>
                <w:sz w:val="24"/>
                <w:szCs w:val="24"/>
              </w:rPr>
              <w:t xml:space="preserve"> </w:t>
            </w:r>
            <w:r>
              <w:rPr>
                <w:rFonts w:cs="Arial"/>
                <w:sz w:val="24"/>
                <w:szCs w:val="24"/>
              </w:rPr>
              <w:t>January</w:t>
            </w:r>
            <w:r w:rsidR="00B64FFA" w:rsidRPr="00110292">
              <w:rPr>
                <w:rFonts w:cs="Arial"/>
                <w:sz w:val="24"/>
                <w:szCs w:val="24"/>
              </w:rPr>
              <w:t xml:space="preserve"> 202</w:t>
            </w:r>
            <w:r>
              <w:rPr>
                <w:rFonts w:cs="Arial"/>
                <w:sz w:val="24"/>
                <w:szCs w:val="24"/>
              </w:rPr>
              <w:t>2</w:t>
            </w:r>
          </w:p>
        </w:tc>
      </w:tr>
      <w:tr w:rsidR="00110292" w:rsidRPr="00110292" w14:paraId="06DAEBB8" w14:textId="77777777" w:rsidTr="00555292">
        <w:tc>
          <w:tcPr>
            <w:tcW w:w="3394" w:type="dxa"/>
          </w:tcPr>
          <w:p w14:paraId="50F0B2CE" w14:textId="77777777" w:rsidR="00555292" w:rsidRPr="00110292" w:rsidRDefault="00555292" w:rsidP="00427308">
            <w:pPr>
              <w:pStyle w:val="Infotext"/>
              <w:spacing w:after="240"/>
              <w:jc w:val="both"/>
              <w:rPr>
                <w:rFonts w:ascii="Arial Black" w:hAnsi="Arial Black"/>
              </w:rPr>
            </w:pPr>
            <w:r w:rsidRPr="00110292">
              <w:rPr>
                <w:rFonts w:ascii="Arial Black" w:hAnsi="Arial Black" w:cs="Arial"/>
              </w:rPr>
              <w:t>Subject:</w:t>
            </w:r>
          </w:p>
        </w:tc>
        <w:tc>
          <w:tcPr>
            <w:tcW w:w="4915" w:type="dxa"/>
          </w:tcPr>
          <w:p w14:paraId="3D086A18" w14:textId="3C226077" w:rsidR="00555292" w:rsidRPr="00110292" w:rsidRDefault="0022279D" w:rsidP="00427308">
            <w:pPr>
              <w:pStyle w:val="Infotext"/>
              <w:jc w:val="both"/>
              <w:rPr>
                <w:rFonts w:cs="Arial"/>
                <w:sz w:val="24"/>
                <w:szCs w:val="22"/>
              </w:rPr>
            </w:pPr>
            <w:r>
              <w:rPr>
                <w:rFonts w:cs="Arial"/>
                <w:sz w:val="24"/>
                <w:szCs w:val="22"/>
              </w:rPr>
              <w:t xml:space="preserve">Annual </w:t>
            </w:r>
            <w:r w:rsidR="007846BF">
              <w:rPr>
                <w:rFonts w:cs="Arial"/>
                <w:sz w:val="24"/>
                <w:szCs w:val="22"/>
              </w:rPr>
              <w:t>Workforce Equality Report 2020-21</w:t>
            </w:r>
          </w:p>
        </w:tc>
      </w:tr>
      <w:tr w:rsidR="00110292" w:rsidRPr="00110292" w14:paraId="10A4A937" w14:textId="77777777" w:rsidTr="00555292">
        <w:tc>
          <w:tcPr>
            <w:tcW w:w="3394" w:type="dxa"/>
          </w:tcPr>
          <w:p w14:paraId="1791B2E2" w14:textId="77777777" w:rsidR="005441BD" w:rsidRPr="00110292" w:rsidRDefault="005441BD" w:rsidP="00427308">
            <w:pPr>
              <w:pStyle w:val="Infotext"/>
              <w:spacing w:after="240"/>
              <w:jc w:val="both"/>
            </w:pPr>
            <w:r w:rsidRPr="00110292">
              <w:rPr>
                <w:rFonts w:ascii="Arial Black" w:hAnsi="Arial Black" w:cs="Arial"/>
              </w:rPr>
              <w:t>Key Decision:</w:t>
            </w:r>
          </w:p>
        </w:tc>
        <w:tc>
          <w:tcPr>
            <w:tcW w:w="4915" w:type="dxa"/>
          </w:tcPr>
          <w:p w14:paraId="4B88550D" w14:textId="67291E3E" w:rsidR="005441BD" w:rsidRPr="00110292" w:rsidRDefault="00583419" w:rsidP="00427308">
            <w:pPr>
              <w:pStyle w:val="Infotext"/>
              <w:jc w:val="both"/>
              <w:rPr>
                <w:rFonts w:cs="Arial"/>
                <w:sz w:val="24"/>
                <w:szCs w:val="24"/>
              </w:rPr>
            </w:pPr>
            <w:r>
              <w:rPr>
                <w:rFonts w:cs="Arial"/>
                <w:sz w:val="24"/>
                <w:szCs w:val="24"/>
              </w:rPr>
              <w:t xml:space="preserve">No </w:t>
            </w:r>
          </w:p>
          <w:p w14:paraId="04A387FD" w14:textId="77777777" w:rsidR="0099076B" w:rsidRPr="00110292" w:rsidRDefault="0099076B" w:rsidP="00427308">
            <w:pPr>
              <w:pStyle w:val="Infotext"/>
              <w:jc w:val="both"/>
              <w:rPr>
                <w:rFonts w:cs="Arial"/>
                <w:sz w:val="24"/>
                <w:szCs w:val="24"/>
              </w:rPr>
            </w:pPr>
          </w:p>
        </w:tc>
      </w:tr>
      <w:tr w:rsidR="00110292" w:rsidRPr="00110292" w14:paraId="454ADD95" w14:textId="77777777" w:rsidTr="00555292">
        <w:tc>
          <w:tcPr>
            <w:tcW w:w="3394" w:type="dxa"/>
          </w:tcPr>
          <w:p w14:paraId="17FC4E38" w14:textId="77777777" w:rsidR="005441BD" w:rsidRPr="00110292" w:rsidRDefault="005441BD" w:rsidP="00427308">
            <w:pPr>
              <w:pStyle w:val="Infotext"/>
              <w:spacing w:after="240"/>
              <w:jc w:val="both"/>
              <w:rPr>
                <w:rFonts w:ascii="Arial Black" w:hAnsi="Arial Black" w:cs="Arial"/>
              </w:rPr>
            </w:pPr>
            <w:r w:rsidRPr="00110292">
              <w:rPr>
                <w:rFonts w:ascii="Arial Black" w:hAnsi="Arial Black" w:cs="Arial"/>
              </w:rPr>
              <w:t>Responsible Officer:</w:t>
            </w:r>
          </w:p>
        </w:tc>
        <w:tc>
          <w:tcPr>
            <w:tcW w:w="4915" w:type="dxa"/>
          </w:tcPr>
          <w:p w14:paraId="71906C2C" w14:textId="23FDEAD3" w:rsidR="001E4F2E" w:rsidRPr="00110292" w:rsidRDefault="00E24739" w:rsidP="00427308">
            <w:pPr>
              <w:pStyle w:val="Infotext"/>
              <w:jc w:val="both"/>
              <w:rPr>
                <w:rFonts w:cs="Arial"/>
                <w:sz w:val="24"/>
                <w:szCs w:val="24"/>
              </w:rPr>
            </w:pPr>
            <w:r>
              <w:rPr>
                <w:rFonts w:cs="Arial"/>
                <w:sz w:val="24"/>
                <w:szCs w:val="24"/>
              </w:rPr>
              <w:t>Tracey Connage, Director of HROD</w:t>
            </w:r>
          </w:p>
          <w:p w14:paraId="5ED24FC3" w14:textId="77777777" w:rsidR="00036698" w:rsidRPr="00110292" w:rsidRDefault="00036698" w:rsidP="00427308">
            <w:pPr>
              <w:pStyle w:val="Infotext"/>
              <w:jc w:val="both"/>
              <w:rPr>
                <w:rFonts w:cs="Arial"/>
                <w:sz w:val="24"/>
                <w:szCs w:val="24"/>
              </w:rPr>
            </w:pPr>
          </w:p>
        </w:tc>
      </w:tr>
      <w:tr w:rsidR="00110292" w:rsidRPr="00110292" w14:paraId="67151276" w14:textId="77777777" w:rsidTr="00555292">
        <w:tc>
          <w:tcPr>
            <w:tcW w:w="3394" w:type="dxa"/>
          </w:tcPr>
          <w:p w14:paraId="64236CA0" w14:textId="77777777" w:rsidR="005441BD" w:rsidRPr="00110292" w:rsidRDefault="005441BD" w:rsidP="00427308">
            <w:pPr>
              <w:pStyle w:val="Infotext"/>
              <w:spacing w:after="240"/>
              <w:jc w:val="both"/>
              <w:rPr>
                <w:rFonts w:ascii="Arial Black" w:hAnsi="Arial Black" w:cs="Arial"/>
              </w:rPr>
            </w:pPr>
            <w:r w:rsidRPr="00110292">
              <w:rPr>
                <w:rFonts w:ascii="Arial Black" w:hAnsi="Arial Black" w:cs="Arial"/>
              </w:rPr>
              <w:t>Portfolio Holder:</w:t>
            </w:r>
          </w:p>
        </w:tc>
        <w:tc>
          <w:tcPr>
            <w:tcW w:w="4915" w:type="dxa"/>
          </w:tcPr>
          <w:p w14:paraId="4D94F8AE" w14:textId="1286F100" w:rsidR="008D0B76" w:rsidRPr="00110292" w:rsidRDefault="001E4F2E" w:rsidP="00427308">
            <w:pPr>
              <w:pStyle w:val="Infotext"/>
              <w:jc w:val="both"/>
              <w:rPr>
                <w:rFonts w:cs="Arial"/>
                <w:sz w:val="24"/>
                <w:szCs w:val="24"/>
              </w:rPr>
            </w:pPr>
            <w:r w:rsidRPr="00110292">
              <w:rPr>
                <w:rFonts w:cs="Arial"/>
                <w:sz w:val="24"/>
                <w:szCs w:val="24"/>
              </w:rPr>
              <w:t>Councillor Krishna Suresh, Portfolio Holder for Equalities and Public Health</w:t>
            </w:r>
          </w:p>
        </w:tc>
      </w:tr>
      <w:tr w:rsidR="00110292" w:rsidRPr="00110292" w14:paraId="16E0D62B" w14:textId="77777777" w:rsidTr="00555292">
        <w:tc>
          <w:tcPr>
            <w:tcW w:w="3394" w:type="dxa"/>
          </w:tcPr>
          <w:p w14:paraId="2E721E3F" w14:textId="77777777" w:rsidR="005441BD" w:rsidRPr="00110292" w:rsidRDefault="005441BD" w:rsidP="00427308">
            <w:pPr>
              <w:pStyle w:val="Infotext"/>
              <w:spacing w:after="240"/>
              <w:jc w:val="both"/>
              <w:rPr>
                <w:rFonts w:ascii="Arial Black" w:hAnsi="Arial Black" w:cs="Arial"/>
              </w:rPr>
            </w:pPr>
            <w:r w:rsidRPr="00110292">
              <w:rPr>
                <w:rFonts w:ascii="Arial Black" w:hAnsi="Arial Black" w:cs="Arial"/>
              </w:rPr>
              <w:t>Exempt:</w:t>
            </w:r>
          </w:p>
        </w:tc>
        <w:tc>
          <w:tcPr>
            <w:tcW w:w="4915" w:type="dxa"/>
          </w:tcPr>
          <w:p w14:paraId="599B9126" w14:textId="66189C59" w:rsidR="005441BD" w:rsidRPr="00110292" w:rsidRDefault="001E4F2E" w:rsidP="00427308">
            <w:pPr>
              <w:pStyle w:val="Infotext"/>
              <w:jc w:val="both"/>
              <w:rPr>
                <w:rFonts w:cs="Arial"/>
                <w:sz w:val="24"/>
                <w:szCs w:val="24"/>
              </w:rPr>
            </w:pPr>
            <w:r w:rsidRPr="00110292">
              <w:rPr>
                <w:rFonts w:cs="Arial"/>
                <w:sz w:val="24"/>
                <w:szCs w:val="24"/>
              </w:rPr>
              <w:t>No</w:t>
            </w:r>
          </w:p>
          <w:p w14:paraId="401C4070" w14:textId="77777777" w:rsidR="0099076B" w:rsidRPr="00110292" w:rsidRDefault="0099076B" w:rsidP="00427308">
            <w:pPr>
              <w:pStyle w:val="Infotext"/>
              <w:jc w:val="both"/>
              <w:rPr>
                <w:rFonts w:cs="Arial"/>
                <w:sz w:val="24"/>
                <w:szCs w:val="24"/>
              </w:rPr>
            </w:pPr>
          </w:p>
        </w:tc>
      </w:tr>
      <w:tr w:rsidR="00110292" w:rsidRPr="00110292" w14:paraId="46C1B06C" w14:textId="77777777" w:rsidTr="00555292">
        <w:tc>
          <w:tcPr>
            <w:tcW w:w="3394" w:type="dxa"/>
          </w:tcPr>
          <w:p w14:paraId="4A84DC0E" w14:textId="77777777" w:rsidR="0099076B" w:rsidRPr="00110292" w:rsidRDefault="0099076B" w:rsidP="00427308">
            <w:pPr>
              <w:pStyle w:val="Infotext"/>
              <w:spacing w:after="240"/>
              <w:jc w:val="both"/>
              <w:rPr>
                <w:rFonts w:ascii="Arial Black" w:hAnsi="Arial Black" w:cs="Arial"/>
              </w:rPr>
            </w:pPr>
            <w:r w:rsidRPr="00110292">
              <w:rPr>
                <w:rFonts w:ascii="Arial Black" w:hAnsi="Arial Black" w:cs="Arial"/>
              </w:rPr>
              <w:t>Decision subject to Call-in:</w:t>
            </w:r>
          </w:p>
        </w:tc>
        <w:tc>
          <w:tcPr>
            <w:tcW w:w="4915" w:type="dxa"/>
          </w:tcPr>
          <w:p w14:paraId="3FC6C007" w14:textId="72454147" w:rsidR="000D5D8B" w:rsidRPr="00110292" w:rsidRDefault="00583419" w:rsidP="00427308">
            <w:pPr>
              <w:pStyle w:val="Infotext"/>
              <w:jc w:val="both"/>
              <w:rPr>
                <w:rFonts w:cs="Arial"/>
                <w:sz w:val="24"/>
                <w:szCs w:val="24"/>
              </w:rPr>
            </w:pPr>
            <w:r>
              <w:rPr>
                <w:rFonts w:cs="Arial"/>
                <w:sz w:val="24"/>
                <w:szCs w:val="24"/>
              </w:rPr>
              <w:t>No</w:t>
            </w:r>
          </w:p>
        </w:tc>
      </w:tr>
      <w:tr w:rsidR="00110292" w:rsidRPr="00110292" w14:paraId="73CF4E26" w14:textId="77777777" w:rsidTr="00555292">
        <w:tc>
          <w:tcPr>
            <w:tcW w:w="3394" w:type="dxa"/>
          </w:tcPr>
          <w:p w14:paraId="0F99FDF2" w14:textId="77777777" w:rsidR="00D54435" w:rsidRPr="00110292" w:rsidRDefault="0064262B" w:rsidP="00427308">
            <w:pPr>
              <w:pStyle w:val="Infotext"/>
              <w:spacing w:after="240"/>
              <w:jc w:val="both"/>
              <w:rPr>
                <w:rFonts w:ascii="Arial Black" w:hAnsi="Arial Black" w:cs="Arial"/>
              </w:rPr>
            </w:pPr>
            <w:r w:rsidRPr="00110292">
              <w:rPr>
                <w:rFonts w:ascii="Arial Black" w:hAnsi="Arial Black" w:cs="Arial"/>
              </w:rPr>
              <w:t>Wards affected:</w:t>
            </w:r>
          </w:p>
        </w:tc>
        <w:tc>
          <w:tcPr>
            <w:tcW w:w="4915" w:type="dxa"/>
          </w:tcPr>
          <w:p w14:paraId="76AA06AF" w14:textId="397DC7B3" w:rsidR="0064262B" w:rsidRPr="00110292" w:rsidRDefault="00665925" w:rsidP="00427308">
            <w:pPr>
              <w:pStyle w:val="Infotext"/>
              <w:jc w:val="both"/>
              <w:rPr>
                <w:rFonts w:cs="Arial"/>
                <w:sz w:val="24"/>
                <w:szCs w:val="24"/>
              </w:rPr>
            </w:pPr>
            <w:r>
              <w:rPr>
                <w:rFonts w:cs="Arial"/>
                <w:sz w:val="24"/>
                <w:szCs w:val="24"/>
              </w:rPr>
              <w:t>None</w:t>
            </w:r>
          </w:p>
        </w:tc>
      </w:tr>
      <w:tr w:rsidR="00110292" w:rsidRPr="00110292" w14:paraId="3A7EFAEE" w14:textId="77777777" w:rsidTr="00555292">
        <w:trPr>
          <w:trHeight w:val="284"/>
        </w:trPr>
        <w:tc>
          <w:tcPr>
            <w:tcW w:w="3394" w:type="dxa"/>
          </w:tcPr>
          <w:p w14:paraId="72F5FB44" w14:textId="77777777" w:rsidR="005441BD" w:rsidRPr="00110292" w:rsidRDefault="005441BD" w:rsidP="00427308">
            <w:pPr>
              <w:pStyle w:val="Infotext"/>
              <w:spacing w:after="240"/>
              <w:jc w:val="both"/>
              <w:rPr>
                <w:rFonts w:ascii="Arial Black" w:hAnsi="Arial Black" w:cs="Arial"/>
              </w:rPr>
            </w:pPr>
            <w:r w:rsidRPr="00110292">
              <w:rPr>
                <w:rFonts w:ascii="Arial Black" w:hAnsi="Arial Black" w:cs="Arial"/>
              </w:rPr>
              <w:t>Enclosures:</w:t>
            </w:r>
          </w:p>
        </w:tc>
        <w:tc>
          <w:tcPr>
            <w:tcW w:w="4915" w:type="dxa"/>
          </w:tcPr>
          <w:p w14:paraId="1C4E3C64" w14:textId="7CB3B54F" w:rsidR="001E4F2E" w:rsidRPr="00110292" w:rsidRDefault="001E4F2E" w:rsidP="00427308">
            <w:pPr>
              <w:pStyle w:val="Infotext"/>
              <w:jc w:val="both"/>
              <w:rPr>
                <w:sz w:val="24"/>
                <w:szCs w:val="24"/>
              </w:rPr>
            </w:pPr>
            <w:r w:rsidRPr="00110292">
              <w:rPr>
                <w:sz w:val="24"/>
                <w:szCs w:val="18"/>
              </w:rPr>
              <w:t>Appendix A –</w:t>
            </w:r>
            <w:r w:rsidR="0022279D">
              <w:rPr>
                <w:sz w:val="24"/>
                <w:szCs w:val="18"/>
              </w:rPr>
              <w:t xml:space="preserve"> Annual</w:t>
            </w:r>
            <w:r w:rsidRPr="00110292">
              <w:rPr>
                <w:sz w:val="24"/>
                <w:szCs w:val="18"/>
              </w:rPr>
              <w:t xml:space="preserve"> </w:t>
            </w:r>
            <w:r w:rsidR="00E24739">
              <w:rPr>
                <w:sz w:val="24"/>
                <w:szCs w:val="18"/>
              </w:rPr>
              <w:t>Workforce Equality Report 2020-21</w:t>
            </w:r>
          </w:p>
          <w:p w14:paraId="05A8DEFB" w14:textId="73A31CA4" w:rsidR="008D0B76" w:rsidRPr="00110292" w:rsidRDefault="008D0B76" w:rsidP="00427308">
            <w:pPr>
              <w:pStyle w:val="Infotext"/>
              <w:jc w:val="both"/>
              <w:rPr>
                <w:rFonts w:cs="Arial"/>
                <w:sz w:val="24"/>
                <w:szCs w:val="24"/>
              </w:rPr>
            </w:pPr>
          </w:p>
        </w:tc>
      </w:tr>
    </w:tbl>
    <w:p w14:paraId="346D5BB2" w14:textId="77777777" w:rsidR="005441BD" w:rsidRPr="00110292" w:rsidRDefault="005441BD" w:rsidP="00427308">
      <w:pPr>
        <w:spacing w:after="48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110292" w:rsidRPr="00110292" w14:paraId="20A4F076" w14:textId="77777777">
        <w:tc>
          <w:tcPr>
            <w:tcW w:w="8525" w:type="dxa"/>
            <w:tcBorders>
              <w:top w:val="nil"/>
              <w:left w:val="nil"/>
              <w:right w:val="nil"/>
            </w:tcBorders>
          </w:tcPr>
          <w:p w14:paraId="62639055" w14:textId="77777777" w:rsidR="005200DF" w:rsidRPr="00110292" w:rsidRDefault="005200DF" w:rsidP="00427308">
            <w:pPr>
              <w:pStyle w:val="Heading2"/>
              <w:spacing w:after="240"/>
              <w:jc w:val="both"/>
            </w:pPr>
            <w:r w:rsidRPr="00110292">
              <w:t>Section 1 – Summary and Recommendations</w:t>
            </w:r>
          </w:p>
        </w:tc>
      </w:tr>
      <w:tr w:rsidR="00110292" w:rsidRPr="00110292" w14:paraId="07FFE2EC" w14:textId="77777777">
        <w:tc>
          <w:tcPr>
            <w:tcW w:w="8525" w:type="dxa"/>
          </w:tcPr>
          <w:p w14:paraId="72A9A1B3" w14:textId="77777777" w:rsidR="005441BD" w:rsidRPr="00110292" w:rsidRDefault="005441BD" w:rsidP="00427308">
            <w:pPr>
              <w:jc w:val="both"/>
            </w:pPr>
          </w:p>
          <w:p w14:paraId="438FDD03" w14:textId="75246854" w:rsidR="005158B7" w:rsidRDefault="005158B7" w:rsidP="00427308">
            <w:pPr>
              <w:jc w:val="both"/>
              <w:rPr>
                <w:rFonts w:eastAsia="Calibri" w:cstheme="minorHAnsi"/>
                <w:szCs w:val="24"/>
              </w:rPr>
            </w:pPr>
            <w:r w:rsidRPr="00110292">
              <w:t xml:space="preserve">The </w:t>
            </w:r>
            <w:r w:rsidR="0022279D">
              <w:t>Annual Workforce Equality</w:t>
            </w:r>
            <w:r w:rsidRPr="00110292">
              <w:t xml:space="preserve"> report </w:t>
            </w:r>
            <w:r w:rsidR="00BA12E6">
              <w:t>gives a detailed breakdown of the council’s workforce from April 2020-March 2021</w:t>
            </w:r>
            <w:r w:rsidRPr="00110292">
              <w:rPr>
                <w:szCs w:val="24"/>
              </w:rPr>
              <w:t xml:space="preserve"> (see Appendix A). </w:t>
            </w:r>
            <w:r w:rsidR="0028103C">
              <w:rPr>
                <w:rFonts w:eastAsia="Calibri" w:cstheme="minorHAnsi"/>
                <w:szCs w:val="24"/>
              </w:rPr>
              <w:t>This report contains a current snapshot of our workforce, broken down into each of the protected characteristics where data is held</w:t>
            </w:r>
            <w:r w:rsidR="002C3726">
              <w:rPr>
                <w:rFonts w:eastAsia="Calibri" w:cstheme="minorHAnsi"/>
                <w:szCs w:val="24"/>
              </w:rPr>
              <w:t xml:space="preserve">, providing </w:t>
            </w:r>
            <w:r w:rsidR="002C3726" w:rsidRPr="004C515E">
              <w:rPr>
                <w:rFonts w:eastAsia="Calibri" w:cstheme="minorHAnsi"/>
                <w:szCs w:val="24"/>
              </w:rPr>
              <w:t>an overview of the diversity profile of the council’s workforce</w:t>
            </w:r>
            <w:r w:rsidR="002C3726">
              <w:rPr>
                <w:rFonts w:eastAsia="Calibri" w:cstheme="minorHAnsi"/>
                <w:szCs w:val="24"/>
              </w:rPr>
              <w:t xml:space="preserve"> </w:t>
            </w:r>
            <w:r w:rsidR="002C3726" w:rsidRPr="004C515E">
              <w:rPr>
                <w:rFonts w:eastAsia="Calibri" w:cstheme="minorHAnsi"/>
                <w:szCs w:val="24"/>
              </w:rPr>
              <w:t xml:space="preserve">and how this compares with the population of Harrow </w:t>
            </w:r>
            <w:r w:rsidR="002C3726">
              <w:rPr>
                <w:rFonts w:eastAsia="Calibri" w:cstheme="minorHAnsi"/>
                <w:szCs w:val="24"/>
              </w:rPr>
              <w:t>and the London average.</w:t>
            </w:r>
          </w:p>
          <w:p w14:paraId="10C35DAC" w14:textId="31ED4C67" w:rsidR="00140B71" w:rsidRDefault="00140B71" w:rsidP="00427308">
            <w:pPr>
              <w:jc w:val="both"/>
              <w:rPr>
                <w:rFonts w:eastAsia="Calibri" w:cstheme="minorHAnsi"/>
                <w:szCs w:val="24"/>
              </w:rPr>
            </w:pPr>
          </w:p>
          <w:p w14:paraId="3DBFDC3F" w14:textId="67B6CC90" w:rsidR="00140B71" w:rsidRPr="004C515E" w:rsidRDefault="00140B71" w:rsidP="00427308">
            <w:pPr>
              <w:jc w:val="both"/>
              <w:rPr>
                <w:rFonts w:eastAsia="Calibri" w:cstheme="minorHAnsi"/>
                <w:szCs w:val="24"/>
              </w:rPr>
            </w:pPr>
            <w:r w:rsidRPr="004C515E">
              <w:rPr>
                <w:rFonts w:eastAsia="Calibri" w:cstheme="minorHAnsi"/>
                <w:szCs w:val="24"/>
              </w:rPr>
              <w:t xml:space="preserve">The data in this report </w:t>
            </w:r>
            <w:r>
              <w:rPr>
                <w:rFonts w:eastAsia="Calibri" w:cstheme="minorHAnsi"/>
                <w:szCs w:val="24"/>
              </w:rPr>
              <w:t>will help to</w:t>
            </w:r>
            <w:r w:rsidRPr="004C515E">
              <w:rPr>
                <w:rFonts w:eastAsia="Calibri" w:cstheme="minorHAnsi"/>
                <w:szCs w:val="24"/>
              </w:rPr>
              <w:t xml:space="preserve"> inform the council’s workforce planning and decision-making processes</w:t>
            </w:r>
            <w:r>
              <w:rPr>
                <w:rFonts w:eastAsia="Calibri" w:cstheme="minorHAnsi"/>
                <w:szCs w:val="24"/>
              </w:rPr>
              <w:t xml:space="preserve"> in relation to levelling up the council’s offer for under-represented groups</w:t>
            </w:r>
            <w:r w:rsidRPr="004C515E">
              <w:rPr>
                <w:rFonts w:eastAsia="Calibri" w:cstheme="minorHAnsi"/>
                <w:szCs w:val="24"/>
              </w:rPr>
              <w:t>. The report</w:t>
            </w:r>
            <w:r>
              <w:rPr>
                <w:rFonts w:eastAsia="Calibri" w:cstheme="minorHAnsi"/>
                <w:szCs w:val="24"/>
              </w:rPr>
              <w:t xml:space="preserve"> will help shape</w:t>
            </w:r>
            <w:r w:rsidRPr="004C515E">
              <w:rPr>
                <w:rFonts w:eastAsia="Calibri" w:cstheme="minorHAnsi"/>
                <w:szCs w:val="24"/>
              </w:rPr>
              <w:t xml:space="preserve"> the development of workforce initiatives to further improve the representation of minority groups within the Council,</w:t>
            </w:r>
            <w:r>
              <w:rPr>
                <w:rFonts w:eastAsia="Calibri" w:cstheme="minorHAnsi"/>
                <w:szCs w:val="24"/>
              </w:rPr>
              <w:t xml:space="preserve"> </w:t>
            </w:r>
            <w:r w:rsidR="00823802">
              <w:rPr>
                <w:rFonts w:eastAsia="Calibri" w:cstheme="minorHAnsi"/>
                <w:szCs w:val="24"/>
              </w:rPr>
              <w:t xml:space="preserve">and </w:t>
            </w:r>
            <w:r>
              <w:rPr>
                <w:rFonts w:eastAsia="Calibri" w:cstheme="minorHAnsi"/>
                <w:szCs w:val="24"/>
              </w:rPr>
              <w:t>to ensure more inclusive processes and practices across the organisation.</w:t>
            </w:r>
          </w:p>
          <w:p w14:paraId="14FE39AF" w14:textId="71BE3B0F" w:rsidR="005158B7" w:rsidRPr="00110292" w:rsidRDefault="005158B7" w:rsidP="00427308">
            <w:pPr>
              <w:pStyle w:val="Heading3"/>
              <w:spacing w:before="240"/>
            </w:pPr>
            <w:r w:rsidRPr="00110292">
              <w:t xml:space="preserve">Recommendations: </w:t>
            </w:r>
          </w:p>
          <w:p w14:paraId="29ECAA9B" w14:textId="77777777" w:rsidR="00EF6CBF" w:rsidRPr="00110292" w:rsidRDefault="00EF6CBF" w:rsidP="00427308">
            <w:pPr>
              <w:jc w:val="both"/>
            </w:pPr>
          </w:p>
          <w:p w14:paraId="7339B5C9" w14:textId="426716A3" w:rsidR="00C1148C" w:rsidRPr="00110292" w:rsidRDefault="005158B7" w:rsidP="00D745FD">
            <w:pPr>
              <w:jc w:val="both"/>
              <w:rPr>
                <w:b/>
                <w:bCs/>
              </w:rPr>
            </w:pPr>
            <w:r w:rsidRPr="00110292">
              <w:t>ECF is requested to:</w:t>
            </w:r>
            <w:r w:rsidR="00D745FD">
              <w:t xml:space="preserve"> </w:t>
            </w:r>
            <w:r w:rsidR="006D2188" w:rsidRPr="006E5385">
              <w:rPr>
                <w:szCs w:val="28"/>
              </w:rPr>
              <w:t xml:space="preserve">Note the </w:t>
            </w:r>
            <w:r w:rsidRPr="006E5385">
              <w:rPr>
                <w:szCs w:val="28"/>
              </w:rPr>
              <w:t xml:space="preserve">council’s </w:t>
            </w:r>
            <w:r w:rsidR="00140B71">
              <w:rPr>
                <w:szCs w:val="28"/>
              </w:rPr>
              <w:t>Annual Workforce Equality Report</w:t>
            </w:r>
            <w:r w:rsidR="00D745FD">
              <w:rPr>
                <w:szCs w:val="28"/>
              </w:rPr>
              <w:t>.</w:t>
            </w:r>
            <w:r w:rsidR="005E018B">
              <w:rPr>
                <w:szCs w:val="28"/>
              </w:rPr>
              <w:t xml:space="preserve"> </w:t>
            </w:r>
          </w:p>
        </w:tc>
      </w:tr>
    </w:tbl>
    <w:p w14:paraId="7EB137CB" w14:textId="77777777" w:rsidR="005C1159" w:rsidRPr="00110292" w:rsidRDefault="005C1159" w:rsidP="00427308">
      <w:pPr>
        <w:pStyle w:val="Heading1"/>
        <w:jc w:val="both"/>
        <w:rPr>
          <w:sz w:val="28"/>
        </w:rPr>
        <w:sectPr w:rsidR="005C1159" w:rsidRPr="00110292" w:rsidSect="002D7BE3">
          <w:footerReference w:type="default" r:id="rId11"/>
          <w:footerReference w:type="first" r:id="rId12"/>
          <w:pgSz w:w="11909" w:h="16834" w:code="9"/>
          <w:pgMar w:top="864" w:right="1800" w:bottom="0" w:left="1800" w:header="1008" w:footer="432" w:gutter="0"/>
          <w:cols w:space="720"/>
          <w:docGrid w:linePitch="360"/>
        </w:sectPr>
      </w:pPr>
    </w:p>
    <w:p w14:paraId="6FB6728F" w14:textId="77777777" w:rsidR="005441BD" w:rsidRPr="00110292" w:rsidRDefault="005441BD" w:rsidP="00427308">
      <w:pPr>
        <w:pStyle w:val="Heading2"/>
        <w:spacing w:before="480"/>
        <w:jc w:val="both"/>
      </w:pPr>
      <w:r w:rsidRPr="00110292">
        <w:lastRenderedPageBreak/>
        <w:t>Section 2 – Report</w:t>
      </w:r>
    </w:p>
    <w:p w14:paraId="0901A58A" w14:textId="77777777" w:rsidR="005441BD" w:rsidRPr="00110292" w:rsidRDefault="005441BD" w:rsidP="00427308">
      <w:pPr>
        <w:jc w:val="both"/>
      </w:pPr>
    </w:p>
    <w:p w14:paraId="1F38596E" w14:textId="4949A08C" w:rsidR="005441BD" w:rsidRPr="00110292" w:rsidRDefault="005441BD" w:rsidP="00427308">
      <w:pPr>
        <w:pStyle w:val="Heading3"/>
      </w:pPr>
      <w:r w:rsidRPr="00110292">
        <w:t>Introductory paragraph</w:t>
      </w:r>
    </w:p>
    <w:p w14:paraId="28A0E50A" w14:textId="77777777" w:rsidR="005158B7" w:rsidRPr="00110292" w:rsidRDefault="005158B7" w:rsidP="00427308">
      <w:pPr>
        <w:jc w:val="both"/>
      </w:pPr>
    </w:p>
    <w:p w14:paraId="7854B4C6" w14:textId="57E26981" w:rsidR="00FC115E" w:rsidRDefault="00FC115E" w:rsidP="00427308">
      <w:pPr>
        <w:jc w:val="both"/>
        <w:rPr>
          <w:rFonts w:eastAsia="Calibri" w:cstheme="minorHAnsi"/>
          <w:szCs w:val="24"/>
        </w:rPr>
      </w:pPr>
      <w:r>
        <w:rPr>
          <w:rFonts w:eastAsia="Calibri" w:cstheme="minorHAnsi"/>
          <w:szCs w:val="24"/>
        </w:rPr>
        <w:t>H</w:t>
      </w:r>
      <w:r w:rsidRPr="004C515E">
        <w:rPr>
          <w:rFonts w:eastAsia="Calibri" w:cstheme="minorHAnsi"/>
          <w:szCs w:val="24"/>
        </w:rPr>
        <w:t>arrow’s Workforce Equality Report</w:t>
      </w:r>
      <w:r>
        <w:rPr>
          <w:rFonts w:eastAsia="Calibri" w:cstheme="minorHAnsi"/>
          <w:szCs w:val="24"/>
        </w:rPr>
        <w:t xml:space="preserve"> covers the</w:t>
      </w:r>
      <w:r w:rsidRPr="004C515E">
        <w:rPr>
          <w:rFonts w:eastAsia="Calibri" w:cstheme="minorHAnsi"/>
          <w:szCs w:val="24"/>
        </w:rPr>
        <w:t xml:space="preserve"> period </w:t>
      </w:r>
      <w:r>
        <w:rPr>
          <w:rFonts w:eastAsia="Calibri" w:cstheme="minorHAnsi"/>
          <w:szCs w:val="24"/>
        </w:rPr>
        <w:t xml:space="preserve">between </w:t>
      </w:r>
      <w:r w:rsidRPr="004C515E">
        <w:rPr>
          <w:rFonts w:eastAsia="Calibri" w:cstheme="minorHAnsi"/>
          <w:szCs w:val="24"/>
        </w:rPr>
        <w:t xml:space="preserve">April 2020 to March 2021. </w:t>
      </w:r>
      <w:r>
        <w:rPr>
          <w:rFonts w:eastAsia="Calibri" w:cstheme="minorHAnsi"/>
          <w:szCs w:val="24"/>
        </w:rPr>
        <w:t>The report contains a current snapshot of our workforce, broken down into each of the protected characteristics where data is held, which include:</w:t>
      </w:r>
    </w:p>
    <w:p w14:paraId="64A817D9" w14:textId="77777777" w:rsidR="00FC115E" w:rsidRDefault="00FC115E" w:rsidP="00427308">
      <w:pPr>
        <w:jc w:val="both"/>
        <w:rPr>
          <w:rFonts w:eastAsia="Calibri" w:cstheme="minorHAnsi"/>
          <w:szCs w:val="24"/>
        </w:rPr>
      </w:pPr>
    </w:p>
    <w:p w14:paraId="1FA7CCDB" w14:textId="77777777" w:rsidR="00FC115E" w:rsidRDefault="00FC115E" w:rsidP="00427308">
      <w:pPr>
        <w:pStyle w:val="ListParagraph"/>
        <w:numPr>
          <w:ilvl w:val="0"/>
          <w:numId w:val="47"/>
        </w:numPr>
        <w:contextualSpacing/>
        <w:jc w:val="both"/>
        <w:rPr>
          <w:rFonts w:cstheme="minorHAnsi"/>
          <w:sz w:val="24"/>
          <w:szCs w:val="24"/>
        </w:rPr>
      </w:pPr>
      <w:r>
        <w:rPr>
          <w:rFonts w:cstheme="minorHAnsi"/>
          <w:sz w:val="24"/>
          <w:szCs w:val="24"/>
        </w:rPr>
        <w:t>Age</w:t>
      </w:r>
    </w:p>
    <w:p w14:paraId="036AAC0E" w14:textId="77777777" w:rsidR="00FC115E" w:rsidRDefault="00FC115E" w:rsidP="00427308">
      <w:pPr>
        <w:pStyle w:val="ListParagraph"/>
        <w:numPr>
          <w:ilvl w:val="0"/>
          <w:numId w:val="47"/>
        </w:numPr>
        <w:contextualSpacing/>
        <w:jc w:val="both"/>
        <w:rPr>
          <w:rFonts w:cstheme="minorHAnsi"/>
          <w:sz w:val="24"/>
          <w:szCs w:val="24"/>
        </w:rPr>
      </w:pPr>
      <w:r>
        <w:rPr>
          <w:rFonts w:cstheme="minorHAnsi"/>
          <w:sz w:val="24"/>
          <w:szCs w:val="24"/>
        </w:rPr>
        <w:t>Disability</w:t>
      </w:r>
    </w:p>
    <w:p w14:paraId="62966FDE" w14:textId="182EDC6B" w:rsidR="00FC115E" w:rsidRDefault="008204D9" w:rsidP="00427308">
      <w:pPr>
        <w:pStyle w:val="ListParagraph"/>
        <w:numPr>
          <w:ilvl w:val="0"/>
          <w:numId w:val="47"/>
        </w:numPr>
        <w:contextualSpacing/>
        <w:jc w:val="both"/>
        <w:rPr>
          <w:rFonts w:cstheme="minorHAnsi"/>
          <w:sz w:val="24"/>
          <w:szCs w:val="24"/>
        </w:rPr>
      </w:pPr>
      <w:r>
        <w:rPr>
          <w:rFonts w:cstheme="minorHAnsi"/>
          <w:sz w:val="24"/>
          <w:szCs w:val="24"/>
        </w:rPr>
        <w:t>Race (Ethnicity)</w:t>
      </w:r>
    </w:p>
    <w:p w14:paraId="0C4CEED4" w14:textId="77777777" w:rsidR="008204D9" w:rsidRDefault="008204D9" w:rsidP="008204D9">
      <w:pPr>
        <w:pStyle w:val="ListParagraph"/>
        <w:numPr>
          <w:ilvl w:val="0"/>
          <w:numId w:val="47"/>
        </w:numPr>
        <w:contextualSpacing/>
        <w:jc w:val="both"/>
        <w:rPr>
          <w:rFonts w:cstheme="minorHAnsi"/>
          <w:sz w:val="24"/>
          <w:szCs w:val="24"/>
        </w:rPr>
      </w:pPr>
      <w:r>
        <w:rPr>
          <w:rFonts w:cstheme="minorHAnsi"/>
          <w:sz w:val="24"/>
          <w:szCs w:val="24"/>
        </w:rPr>
        <w:t>Sex</w:t>
      </w:r>
    </w:p>
    <w:p w14:paraId="7C712185" w14:textId="77777777" w:rsidR="008204D9" w:rsidRDefault="008204D9" w:rsidP="008204D9">
      <w:pPr>
        <w:pStyle w:val="ListParagraph"/>
        <w:numPr>
          <w:ilvl w:val="0"/>
          <w:numId w:val="47"/>
        </w:numPr>
        <w:contextualSpacing/>
        <w:jc w:val="both"/>
        <w:rPr>
          <w:rFonts w:cstheme="minorHAnsi"/>
          <w:sz w:val="24"/>
          <w:szCs w:val="24"/>
        </w:rPr>
      </w:pPr>
      <w:r>
        <w:rPr>
          <w:rFonts w:cstheme="minorHAnsi"/>
          <w:sz w:val="24"/>
          <w:szCs w:val="24"/>
        </w:rPr>
        <w:t>Religion or belief</w:t>
      </w:r>
    </w:p>
    <w:p w14:paraId="10A116EF" w14:textId="77777777" w:rsidR="008204D9" w:rsidRDefault="008204D9" w:rsidP="008204D9">
      <w:pPr>
        <w:pStyle w:val="ListParagraph"/>
        <w:numPr>
          <w:ilvl w:val="0"/>
          <w:numId w:val="47"/>
        </w:numPr>
        <w:contextualSpacing/>
        <w:jc w:val="both"/>
        <w:rPr>
          <w:rFonts w:cstheme="minorHAnsi"/>
          <w:sz w:val="24"/>
          <w:szCs w:val="24"/>
        </w:rPr>
      </w:pPr>
      <w:r>
        <w:rPr>
          <w:rFonts w:cstheme="minorHAnsi"/>
          <w:sz w:val="24"/>
          <w:szCs w:val="24"/>
        </w:rPr>
        <w:t>LGBTQIA+ (Gender reassignment and sexual orientation)</w:t>
      </w:r>
    </w:p>
    <w:p w14:paraId="24C1B77F" w14:textId="269A2F8C" w:rsidR="008204D9" w:rsidRDefault="008204D9" w:rsidP="008204D9">
      <w:pPr>
        <w:pStyle w:val="ListParagraph"/>
        <w:numPr>
          <w:ilvl w:val="0"/>
          <w:numId w:val="47"/>
        </w:numPr>
        <w:contextualSpacing/>
        <w:jc w:val="both"/>
        <w:rPr>
          <w:rFonts w:cstheme="minorHAnsi"/>
          <w:sz w:val="24"/>
          <w:szCs w:val="24"/>
        </w:rPr>
      </w:pPr>
      <w:r>
        <w:rPr>
          <w:rFonts w:cstheme="minorHAnsi"/>
          <w:sz w:val="24"/>
          <w:szCs w:val="24"/>
        </w:rPr>
        <w:t>Pregnancy and Maternity</w:t>
      </w:r>
      <w:r w:rsidR="00D745FD">
        <w:rPr>
          <w:rFonts w:cstheme="minorHAnsi"/>
          <w:sz w:val="24"/>
          <w:szCs w:val="24"/>
        </w:rPr>
        <w:t>.</w:t>
      </w:r>
    </w:p>
    <w:p w14:paraId="35130BCC" w14:textId="77777777" w:rsidR="008204D9" w:rsidRPr="008204D9" w:rsidRDefault="008204D9" w:rsidP="008204D9">
      <w:pPr>
        <w:pStyle w:val="ListParagraph"/>
        <w:contextualSpacing/>
        <w:jc w:val="both"/>
        <w:rPr>
          <w:rFonts w:cstheme="minorHAnsi"/>
          <w:sz w:val="24"/>
          <w:szCs w:val="24"/>
        </w:rPr>
      </w:pPr>
    </w:p>
    <w:p w14:paraId="633912A2" w14:textId="4B2D5D79" w:rsidR="00C4117C" w:rsidRPr="00C1148C" w:rsidRDefault="00FC115E" w:rsidP="00427308">
      <w:pPr>
        <w:jc w:val="both"/>
        <w:rPr>
          <w:rFonts w:eastAsia="Calibri" w:cstheme="minorHAnsi"/>
          <w:szCs w:val="24"/>
        </w:rPr>
      </w:pPr>
      <w:r w:rsidRPr="004C515E">
        <w:rPr>
          <w:rFonts w:eastAsia="Calibri" w:cstheme="minorHAnsi"/>
          <w:szCs w:val="24"/>
        </w:rPr>
        <w:t>Th</w:t>
      </w:r>
      <w:r>
        <w:rPr>
          <w:rFonts w:eastAsia="Calibri" w:cstheme="minorHAnsi"/>
          <w:szCs w:val="24"/>
        </w:rPr>
        <w:t>e</w:t>
      </w:r>
      <w:r w:rsidRPr="004C515E">
        <w:rPr>
          <w:rFonts w:eastAsia="Calibri" w:cstheme="minorHAnsi"/>
          <w:szCs w:val="24"/>
        </w:rPr>
        <w:t xml:space="preserve"> report provides an overview of the diversity profile of the council’s workforce</w:t>
      </w:r>
      <w:r>
        <w:rPr>
          <w:rFonts w:eastAsia="Calibri" w:cstheme="minorHAnsi"/>
          <w:szCs w:val="24"/>
        </w:rPr>
        <w:t xml:space="preserve"> </w:t>
      </w:r>
      <w:r w:rsidRPr="004C515E">
        <w:rPr>
          <w:rFonts w:eastAsia="Calibri" w:cstheme="minorHAnsi"/>
          <w:szCs w:val="24"/>
        </w:rPr>
        <w:t xml:space="preserve">and how this compares with the population of Harrow </w:t>
      </w:r>
      <w:r>
        <w:rPr>
          <w:rFonts w:eastAsia="Calibri" w:cstheme="minorHAnsi"/>
          <w:szCs w:val="24"/>
        </w:rPr>
        <w:t xml:space="preserve">and the London average. </w:t>
      </w:r>
      <w:r w:rsidRPr="004C515E">
        <w:rPr>
          <w:rFonts w:eastAsia="Calibri" w:cstheme="minorHAnsi"/>
          <w:szCs w:val="24"/>
        </w:rPr>
        <w:t xml:space="preserve">The data in this report </w:t>
      </w:r>
      <w:r>
        <w:rPr>
          <w:rFonts w:eastAsia="Calibri" w:cstheme="minorHAnsi"/>
          <w:szCs w:val="24"/>
        </w:rPr>
        <w:t>will help to</w:t>
      </w:r>
      <w:r w:rsidRPr="004C515E">
        <w:rPr>
          <w:rFonts w:eastAsia="Calibri" w:cstheme="minorHAnsi"/>
          <w:szCs w:val="24"/>
        </w:rPr>
        <w:t xml:space="preserve"> inform the council’s workforce planning and decision-making processes</w:t>
      </w:r>
      <w:r>
        <w:rPr>
          <w:rFonts w:eastAsia="Calibri" w:cstheme="minorHAnsi"/>
          <w:szCs w:val="24"/>
        </w:rPr>
        <w:t xml:space="preserve"> in relation to levelling up the council’s offer for under-represented groups</w:t>
      </w:r>
      <w:r w:rsidRPr="004C515E">
        <w:rPr>
          <w:rFonts w:eastAsia="Calibri" w:cstheme="minorHAnsi"/>
          <w:szCs w:val="24"/>
        </w:rPr>
        <w:t>. The report</w:t>
      </w:r>
      <w:r>
        <w:rPr>
          <w:rFonts w:eastAsia="Calibri" w:cstheme="minorHAnsi"/>
          <w:szCs w:val="24"/>
        </w:rPr>
        <w:t xml:space="preserve"> will help shape</w:t>
      </w:r>
      <w:r w:rsidRPr="004C515E">
        <w:rPr>
          <w:rFonts w:eastAsia="Calibri" w:cstheme="minorHAnsi"/>
          <w:szCs w:val="24"/>
        </w:rPr>
        <w:t xml:space="preserve"> the development of workforce initiatives to further improve the representation of minority groups within the Council,</w:t>
      </w:r>
      <w:r>
        <w:rPr>
          <w:rFonts w:eastAsia="Calibri" w:cstheme="minorHAnsi"/>
          <w:szCs w:val="24"/>
        </w:rPr>
        <w:t xml:space="preserve"> to ensure more inclusive processes and practices across the organisation.</w:t>
      </w:r>
    </w:p>
    <w:p w14:paraId="1F8CC7EA" w14:textId="46A1525F" w:rsidR="00410C2B" w:rsidRPr="00110292" w:rsidRDefault="00410C2B" w:rsidP="00427308">
      <w:pPr>
        <w:pStyle w:val="Heading2"/>
        <w:spacing w:before="240"/>
        <w:jc w:val="both"/>
        <w:rPr>
          <w:rFonts w:ascii="Arial" w:hAnsi="Arial"/>
          <w:sz w:val="28"/>
          <w:szCs w:val="28"/>
        </w:rPr>
      </w:pPr>
      <w:r w:rsidRPr="00110292">
        <w:rPr>
          <w:rFonts w:ascii="Arial" w:hAnsi="Arial"/>
          <w:sz w:val="28"/>
          <w:szCs w:val="28"/>
        </w:rPr>
        <w:t>Background</w:t>
      </w:r>
    </w:p>
    <w:p w14:paraId="76DE2788" w14:textId="7670A3B2" w:rsidR="00410C2B" w:rsidRPr="00110292" w:rsidRDefault="00410C2B" w:rsidP="00427308">
      <w:pPr>
        <w:jc w:val="both"/>
        <w:rPr>
          <w:rFonts w:cs="Arial"/>
          <w:sz w:val="28"/>
          <w:szCs w:val="28"/>
        </w:rPr>
      </w:pPr>
    </w:p>
    <w:p w14:paraId="438447DC" w14:textId="77777777" w:rsidR="00FC115E" w:rsidRDefault="00FC115E" w:rsidP="00427308">
      <w:pPr>
        <w:jc w:val="both"/>
        <w:rPr>
          <w:rFonts w:eastAsia="Calibri" w:cstheme="minorHAnsi"/>
          <w:szCs w:val="24"/>
        </w:rPr>
      </w:pPr>
      <w:r>
        <w:rPr>
          <w:rFonts w:eastAsia="Calibri" w:cstheme="minorHAnsi"/>
          <w:szCs w:val="24"/>
        </w:rPr>
        <w:t>As one of the</w:t>
      </w:r>
      <w:r w:rsidRPr="004C515E">
        <w:rPr>
          <w:rFonts w:eastAsia="Calibri" w:cstheme="minorHAnsi"/>
          <w:szCs w:val="24"/>
        </w:rPr>
        <w:t xml:space="preserve"> most ethnically and religiously diverse boroughs in the country with a many people from a vast range of diverse backgrounds living side by side</w:t>
      </w:r>
      <w:r>
        <w:rPr>
          <w:rFonts w:eastAsia="Calibri" w:cstheme="minorHAnsi"/>
          <w:szCs w:val="24"/>
        </w:rPr>
        <w:t>, Harrow</w:t>
      </w:r>
      <w:r w:rsidRPr="004C515E">
        <w:rPr>
          <w:rFonts w:eastAsia="Calibri" w:cstheme="minorHAnsi"/>
          <w:szCs w:val="24"/>
        </w:rPr>
        <w:t xml:space="preserve"> is committed to developing a workforce that is thriving, fair, diverse, and representative of the residents within our local community.</w:t>
      </w:r>
    </w:p>
    <w:p w14:paraId="44C5ADD8" w14:textId="77777777" w:rsidR="00FC115E" w:rsidRDefault="00FC115E" w:rsidP="00427308">
      <w:pPr>
        <w:jc w:val="both"/>
        <w:rPr>
          <w:rFonts w:eastAsia="Calibri" w:cstheme="minorHAnsi"/>
          <w:szCs w:val="24"/>
        </w:rPr>
      </w:pPr>
    </w:p>
    <w:p w14:paraId="6EAB1906" w14:textId="1C63AA27" w:rsidR="00FC115E" w:rsidRDefault="00FC115E" w:rsidP="00427308">
      <w:pPr>
        <w:jc w:val="both"/>
        <w:rPr>
          <w:rFonts w:eastAsia="Calibri" w:cstheme="minorHAnsi"/>
          <w:szCs w:val="24"/>
        </w:rPr>
      </w:pPr>
      <w:r>
        <w:rPr>
          <w:rFonts w:eastAsia="Calibri" w:cstheme="minorHAnsi"/>
          <w:szCs w:val="24"/>
        </w:rPr>
        <w:t>Over the last year, the council has</w:t>
      </w:r>
      <w:r w:rsidRPr="004C515E">
        <w:rPr>
          <w:rFonts w:eastAsia="Calibri" w:cstheme="minorHAnsi"/>
          <w:szCs w:val="24"/>
        </w:rPr>
        <w:t xml:space="preserve"> demonstrated a renewed commitment to </w:t>
      </w:r>
      <w:r>
        <w:rPr>
          <w:rFonts w:eastAsia="Calibri" w:cstheme="minorHAnsi"/>
          <w:szCs w:val="24"/>
        </w:rPr>
        <w:t>equality and diversity, through our work on r</w:t>
      </w:r>
      <w:r w:rsidRPr="004C515E">
        <w:rPr>
          <w:rFonts w:eastAsia="Calibri" w:cstheme="minorHAnsi"/>
          <w:szCs w:val="24"/>
        </w:rPr>
        <w:t xml:space="preserve">ace </w:t>
      </w:r>
      <w:r>
        <w:rPr>
          <w:rFonts w:eastAsia="Calibri" w:cstheme="minorHAnsi"/>
          <w:szCs w:val="24"/>
        </w:rPr>
        <w:t>e</w:t>
      </w:r>
      <w:r w:rsidRPr="004C515E">
        <w:rPr>
          <w:rFonts w:eastAsia="Calibri" w:cstheme="minorHAnsi"/>
          <w:szCs w:val="24"/>
        </w:rPr>
        <w:t>quality</w:t>
      </w:r>
      <w:r>
        <w:rPr>
          <w:rFonts w:eastAsia="Calibri" w:cstheme="minorHAnsi"/>
          <w:szCs w:val="24"/>
        </w:rPr>
        <w:t>. This has seen the organisation embark on new</w:t>
      </w:r>
      <w:r w:rsidRPr="004C515E">
        <w:rPr>
          <w:rFonts w:eastAsia="Calibri" w:cstheme="minorHAnsi"/>
          <w:szCs w:val="24"/>
        </w:rPr>
        <w:t xml:space="preserve"> journey </w:t>
      </w:r>
      <w:r>
        <w:rPr>
          <w:rFonts w:eastAsia="Calibri" w:cstheme="minorHAnsi"/>
          <w:szCs w:val="24"/>
        </w:rPr>
        <w:t>to become a</w:t>
      </w:r>
      <w:r w:rsidRPr="004C515E">
        <w:rPr>
          <w:rFonts w:eastAsia="Calibri" w:cstheme="minorHAnsi"/>
          <w:szCs w:val="24"/>
        </w:rPr>
        <w:t xml:space="preserve"> fully accessible and inclusive </w:t>
      </w:r>
      <w:r>
        <w:rPr>
          <w:rFonts w:eastAsia="Calibri" w:cstheme="minorHAnsi"/>
          <w:szCs w:val="24"/>
        </w:rPr>
        <w:t>employer, which welcomes a</w:t>
      </w:r>
      <w:r w:rsidRPr="004C515E">
        <w:rPr>
          <w:rFonts w:eastAsia="Calibri" w:cstheme="minorHAnsi"/>
          <w:szCs w:val="24"/>
        </w:rPr>
        <w:t xml:space="preserve"> broad range of skills, experiences</w:t>
      </w:r>
      <w:r>
        <w:rPr>
          <w:rFonts w:eastAsia="Calibri" w:cstheme="minorHAnsi"/>
          <w:szCs w:val="24"/>
        </w:rPr>
        <w:t>,</w:t>
      </w:r>
      <w:r w:rsidRPr="004C515E">
        <w:rPr>
          <w:rFonts w:eastAsia="Calibri" w:cstheme="minorHAnsi"/>
          <w:szCs w:val="24"/>
        </w:rPr>
        <w:t xml:space="preserve"> and perspectives</w:t>
      </w:r>
      <w:r>
        <w:rPr>
          <w:rFonts w:eastAsia="Calibri" w:cstheme="minorHAnsi"/>
          <w:szCs w:val="24"/>
        </w:rPr>
        <w:t xml:space="preserve"> that are representative of Harrow’s vibrant community, and considers the rights of all staff.</w:t>
      </w:r>
    </w:p>
    <w:p w14:paraId="368355A9" w14:textId="1B838D86" w:rsidR="004E240D" w:rsidRDefault="004E240D" w:rsidP="00427308">
      <w:pPr>
        <w:jc w:val="both"/>
        <w:rPr>
          <w:rFonts w:eastAsia="Calibri" w:cstheme="minorHAnsi"/>
          <w:szCs w:val="24"/>
        </w:rPr>
      </w:pPr>
    </w:p>
    <w:p w14:paraId="3A9F5A40" w14:textId="45FB5E28" w:rsidR="00E809B9" w:rsidRDefault="00B017D0" w:rsidP="00427308">
      <w:pPr>
        <w:jc w:val="both"/>
      </w:pPr>
      <w:r w:rsidRPr="004C515E">
        <w:rPr>
          <w:rFonts w:cstheme="minorHAnsi"/>
          <w:szCs w:val="24"/>
        </w:rPr>
        <w:t>The total number in Harrow’s Workforce as of</w:t>
      </w:r>
      <w:r>
        <w:rPr>
          <w:rFonts w:cstheme="minorHAnsi"/>
          <w:szCs w:val="24"/>
        </w:rPr>
        <w:t xml:space="preserve"> 31</w:t>
      </w:r>
      <w:r w:rsidRPr="00124EE9">
        <w:rPr>
          <w:rFonts w:cstheme="minorHAnsi"/>
          <w:szCs w:val="24"/>
          <w:vertAlign w:val="superscript"/>
        </w:rPr>
        <w:t>st</w:t>
      </w:r>
      <w:r>
        <w:rPr>
          <w:rFonts w:cstheme="minorHAnsi"/>
          <w:szCs w:val="24"/>
        </w:rPr>
        <w:t xml:space="preserve"> </w:t>
      </w:r>
      <w:r w:rsidRPr="004C515E">
        <w:rPr>
          <w:rFonts w:cstheme="minorHAnsi"/>
          <w:szCs w:val="24"/>
        </w:rPr>
        <w:t xml:space="preserve">March 2021 is </w:t>
      </w:r>
      <w:r>
        <w:rPr>
          <w:rFonts w:cstheme="minorHAnsi"/>
          <w:szCs w:val="24"/>
        </w:rPr>
        <w:t>2071. D</w:t>
      </w:r>
      <w:r w:rsidR="004E240D">
        <w:rPr>
          <w:rFonts w:cstheme="minorHAnsi"/>
          <w:szCs w:val="24"/>
        </w:rPr>
        <w:t xml:space="preserve">ata used in this report has been </w:t>
      </w:r>
      <w:r w:rsidR="004E240D">
        <w:t>drawn from the</w:t>
      </w:r>
      <w:r w:rsidR="00E809B9">
        <w:t xml:space="preserve"> following:</w:t>
      </w:r>
    </w:p>
    <w:p w14:paraId="5757F4C7" w14:textId="77777777" w:rsidR="00B017D0" w:rsidRDefault="00B017D0" w:rsidP="00427308">
      <w:pPr>
        <w:jc w:val="both"/>
      </w:pPr>
    </w:p>
    <w:p w14:paraId="49D6A22A" w14:textId="33B1EDB4" w:rsidR="00E809B9" w:rsidRDefault="004E240D" w:rsidP="00427308">
      <w:pPr>
        <w:pStyle w:val="ListParagraph"/>
        <w:numPr>
          <w:ilvl w:val="0"/>
          <w:numId w:val="49"/>
        </w:numPr>
        <w:jc w:val="both"/>
      </w:pPr>
      <w:r>
        <w:t>SAP ERP system as at 31 March 2021</w:t>
      </w:r>
    </w:p>
    <w:p w14:paraId="4BF8EFFA" w14:textId="06BA1416" w:rsidR="00F76610" w:rsidRDefault="00F76610" w:rsidP="00427308">
      <w:pPr>
        <w:pStyle w:val="ListParagraph"/>
        <w:numPr>
          <w:ilvl w:val="0"/>
          <w:numId w:val="49"/>
        </w:numPr>
        <w:jc w:val="both"/>
      </w:pPr>
      <w:r>
        <w:t>Staff completion of SAP data</w:t>
      </w:r>
    </w:p>
    <w:p w14:paraId="2BA1547A" w14:textId="0A1C5B03" w:rsidR="00EF59BB" w:rsidRDefault="00EF59BB" w:rsidP="00427308">
      <w:pPr>
        <w:pStyle w:val="ListParagraph"/>
        <w:numPr>
          <w:ilvl w:val="0"/>
          <w:numId w:val="49"/>
        </w:numPr>
        <w:jc w:val="both"/>
      </w:pPr>
      <w:r>
        <w:t>Harrow Council Scorecard 2021</w:t>
      </w:r>
    </w:p>
    <w:p w14:paraId="02BCFFE7" w14:textId="07DC3998" w:rsidR="00E809B9" w:rsidRDefault="00823802" w:rsidP="00427308">
      <w:pPr>
        <w:pStyle w:val="ListParagraph"/>
        <w:numPr>
          <w:ilvl w:val="0"/>
          <w:numId w:val="49"/>
        </w:numPr>
        <w:jc w:val="both"/>
      </w:pPr>
      <w:r>
        <w:t>Maternity returners 2018-19</w:t>
      </w:r>
      <w:r w:rsidR="00D745FD">
        <w:t>.</w:t>
      </w:r>
    </w:p>
    <w:p w14:paraId="728086C6" w14:textId="77777777" w:rsidR="00E809B9" w:rsidRDefault="00E809B9" w:rsidP="00427308">
      <w:pPr>
        <w:jc w:val="both"/>
      </w:pPr>
    </w:p>
    <w:p w14:paraId="5F631C79" w14:textId="0B6B6FEF" w:rsidR="00F76610" w:rsidRDefault="004E240D" w:rsidP="00427308">
      <w:pPr>
        <w:jc w:val="both"/>
      </w:pPr>
      <w:r>
        <w:lastRenderedPageBreak/>
        <w:t>The reports cover most of the protected characteristics but not Marriage and Civil Partnership, or Pregnancy</w:t>
      </w:r>
      <w:r w:rsidR="00F76610">
        <w:t>.</w:t>
      </w:r>
    </w:p>
    <w:p w14:paraId="07F9D76F" w14:textId="77777777" w:rsidR="00F76610" w:rsidRDefault="00F76610" w:rsidP="00427308">
      <w:pPr>
        <w:jc w:val="both"/>
      </w:pPr>
    </w:p>
    <w:p w14:paraId="4290BC87" w14:textId="42FE34C1" w:rsidR="004E240D" w:rsidRPr="00881027" w:rsidRDefault="004E240D" w:rsidP="00427308">
      <w:pPr>
        <w:jc w:val="both"/>
        <w:rPr>
          <w:rFonts w:cstheme="minorHAnsi"/>
          <w:szCs w:val="24"/>
        </w:rPr>
      </w:pPr>
      <w:r w:rsidRPr="004C515E">
        <w:rPr>
          <w:rFonts w:cstheme="minorHAnsi"/>
          <w:szCs w:val="24"/>
        </w:rPr>
        <w:t>Benchmarking data has been drawn from a range of sources including</w:t>
      </w:r>
      <w:r w:rsidR="00881027">
        <w:rPr>
          <w:rFonts w:cstheme="minorHAnsi"/>
          <w:szCs w:val="24"/>
        </w:rPr>
        <w:t xml:space="preserve"> </w:t>
      </w:r>
      <w:r w:rsidR="008D5B3D" w:rsidRPr="00881027">
        <w:rPr>
          <w:rFonts w:cstheme="minorHAnsi"/>
          <w:szCs w:val="24"/>
        </w:rPr>
        <w:t>The</w:t>
      </w:r>
      <w:r w:rsidRPr="00881027">
        <w:rPr>
          <w:rFonts w:cstheme="minorHAnsi"/>
          <w:szCs w:val="24"/>
        </w:rPr>
        <w:t xml:space="preserve"> Human Capital Metrics Survey 2020 – 2021, the Office of National</w:t>
      </w:r>
      <w:r w:rsidR="00DD6FAA" w:rsidRPr="00881027">
        <w:rPr>
          <w:rFonts w:cstheme="minorHAnsi"/>
          <w:szCs w:val="24"/>
        </w:rPr>
        <w:t xml:space="preserve"> Statistics</w:t>
      </w:r>
      <w:r w:rsidRPr="00881027">
        <w:rPr>
          <w:rFonts w:cstheme="minorHAnsi"/>
          <w:szCs w:val="24"/>
        </w:rPr>
        <w:t>, the Greater London Authority and the Government Equalities Office.</w:t>
      </w:r>
    </w:p>
    <w:p w14:paraId="459D67A0" w14:textId="77777777" w:rsidR="004E240D" w:rsidRPr="004C515E" w:rsidRDefault="004E240D" w:rsidP="00427308">
      <w:pPr>
        <w:jc w:val="both"/>
        <w:rPr>
          <w:rFonts w:cstheme="minorHAnsi"/>
          <w:szCs w:val="24"/>
        </w:rPr>
      </w:pPr>
    </w:p>
    <w:p w14:paraId="4513013C" w14:textId="77777777" w:rsidR="00B017D0" w:rsidRDefault="004E240D" w:rsidP="00427308">
      <w:pPr>
        <w:jc w:val="both"/>
        <w:rPr>
          <w:rFonts w:cstheme="minorHAnsi"/>
          <w:szCs w:val="24"/>
        </w:rPr>
      </w:pPr>
      <w:r w:rsidRPr="004C515E">
        <w:rPr>
          <w:rFonts w:cstheme="minorHAnsi"/>
          <w:szCs w:val="24"/>
        </w:rPr>
        <w:t>The report relates to Harrow’s non-schools’ workforce. It excludes contracted services that are monitored by other sources.</w:t>
      </w:r>
    </w:p>
    <w:p w14:paraId="5A44EA16" w14:textId="77777777" w:rsidR="005158B7" w:rsidRPr="00110292" w:rsidRDefault="005158B7" w:rsidP="00427308">
      <w:pPr>
        <w:jc w:val="both"/>
        <w:rPr>
          <w:rFonts w:cs="Arial"/>
          <w:sz w:val="28"/>
          <w:szCs w:val="28"/>
        </w:rPr>
      </w:pPr>
    </w:p>
    <w:p w14:paraId="439F9035" w14:textId="571464E5" w:rsidR="00410C2B" w:rsidRDefault="00410C2B" w:rsidP="00427308">
      <w:pPr>
        <w:pStyle w:val="Heading2"/>
        <w:jc w:val="both"/>
        <w:rPr>
          <w:rFonts w:ascii="Arial" w:hAnsi="Arial"/>
          <w:sz w:val="28"/>
          <w:szCs w:val="28"/>
        </w:rPr>
      </w:pPr>
      <w:r w:rsidRPr="00110292">
        <w:rPr>
          <w:rFonts w:ascii="Arial" w:hAnsi="Arial"/>
          <w:sz w:val="28"/>
          <w:szCs w:val="28"/>
        </w:rPr>
        <w:t>Current situation</w:t>
      </w:r>
    </w:p>
    <w:p w14:paraId="446F8C4B" w14:textId="77777777" w:rsidR="007B2417" w:rsidRPr="007B2417" w:rsidRDefault="007B2417" w:rsidP="00427308">
      <w:pPr>
        <w:jc w:val="both"/>
      </w:pPr>
    </w:p>
    <w:p w14:paraId="6ADD91CE" w14:textId="77777777" w:rsidR="005B3E25" w:rsidRDefault="005D67ED" w:rsidP="00427308">
      <w:pPr>
        <w:jc w:val="both"/>
        <w:rPr>
          <w:rFonts w:cs="Arial"/>
          <w:color w:val="000000"/>
          <w:szCs w:val="24"/>
          <w:shd w:val="clear" w:color="auto" w:fill="FFFFFF"/>
        </w:rPr>
      </w:pPr>
      <w:r w:rsidRPr="0015356A">
        <w:rPr>
          <w:rFonts w:cs="Arial"/>
          <w:szCs w:val="24"/>
        </w:rPr>
        <w:t xml:space="preserve">Under the Public Sector Equality Duty 2011 (PSED) all public authorities must </w:t>
      </w:r>
      <w:r w:rsidR="007B2417">
        <w:rPr>
          <w:rFonts w:cs="Arial"/>
          <w:szCs w:val="24"/>
        </w:rPr>
        <w:t xml:space="preserve">take steps to </w:t>
      </w:r>
      <w:r w:rsidR="0015356A" w:rsidRPr="0015356A">
        <w:rPr>
          <w:rFonts w:cs="Arial"/>
          <w:color w:val="000000"/>
          <w:szCs w:val="24"/>
          <w:shd w:val="clear" w:color="auto" w:fill="FFFFFF"/>
        </w:rPr>
        <w:t>advance equality of opportunity between persons who share a relevant</w:t>
      </w:r>
      <w:r w:rsidR="0015356A">
        <w:rPr>
          <w:rFonts w:cs="Arial"/>
          <w:color w:val="000000"/>
          <w:szCs w:val="24"/>
          <w:shd w:val="clear" w:color="auto" w:fill="FFFFFF"/>
        </w:rPr>
        <w:t xml:space="preserve"> </w:t>
      </w:r>
      <w:r w:rsidR="0015356A" w:rsidRPr="0015356A">
        <w:rPr>
          <w:rFonts w:cs="Arial"/>
          <w:color w:val="000000"/>
          <w:szCs w:val="24"/>
          <w:shd w:val="clear" w:color="auto" w:fill="FFFFFF"/>
        </w:rPr>
        <w:t>protected characteristic and persons who do not share it</w:t>
      </w:r>
      <w:r w:rsidR="0015356A">
        <w:rPr>
          <w:rFonts w:cs="Arial"/>
          <w:color w:val="000000"/>
          <w:szCs w:val="24"/>
          <w:shd w:val="clear" w:color="auto" w:fill="FFFFFF"/>
        </w:rPr>
        <w:t>.</w:t>
      </w:r>
    </w:p>
    <w:p w14:paraId="2752F66F" w14:textId="40269BFB" w:rsidR="005B3E25" w:rsidRDefault="005B3E25" w:rsidP="00427308">
      <w:pPr>
        <w:jc w:val="both"/>
        <w:rPr>
          <w:rFonts w:cs="Arial"/>
          <w:color w:val="000000"/>
          <w:szCs w:val="24"/>
          <w:shd w:val="clear" w:color="auto" w:fill="FFFFFF"/>
        </w:rPr>
      </w:pPr>
    </w:p>
    <w:p w14:paraId="7C7E34DA" w14:textId="77777777" w:rsidR="00BB7D38" w:rsidRPr="004C515E" w:rsidRDefault="00BB7D38" w:rsidP="00427308">
      <w:pPr>
        <w:jc w:val="both"/>
        <w:rPr>
          <w:szCs w:val="24"/>
        </w:rPr>
      </w:pPr>
      <w:r w:rsidRPr="4AE7F59C">
        <w:rPr>
          <w:szCs w:val="24"/>
        </w:rPr>
        <w:t xml:space="preserve">Employees are able to choose whether or not to provide information on their equality characteristics, expect for certain information which is paramount for payroll processing and pension administration (e.g., age and gender). The data that follows is based on the number of employees that have chosen to provide their equalities information. </w:t>
      </w:r>
      <w:r>
        <w:rPr>
          <w:szCs w:val="24"/>
        </w:rPr>
        <w:t xml:space="preserve">The report contains data relies on the completion of data on SAP, which was 34.3% in 2020-21. </w:t>
      </w:r>
    </w:p>
    <w:p w14:paraId="243ABD55" w14:textId="77777777" w:rsidR="00BB7D38" w:rsidRDefault="00BB7D38" w:rsidP="00427308">
      <w:pPr>
        <w:jc w:val="both"/>
        <w:rPr>
          <w:rFonts w:cs="Arial"/>
          <w:color w:val="000000"/>
          <w:szCs w:val="24"/>
          <w:shd w:val="clear" w:color="auto" w:fill="FFFFFF"/>
        </w:rPr>
      </w:pPr>
    </w:p>
    <w:p w14:paraId="5B6C0836" w14:textId="24B7725D" w:rsidR="00410C2B" w:rsidRPr="0015356A" w:rsidRDefault="007B2417" w:rsidP="00427308">
      <w:pPr>
        <w:jc w:val="both"/>
        <w:rPr>
          <w:rFonts w:cs="Arial"/>
          <w:szCs w:val="24"/>
        </w:rPr>
      </w:pPr>
      <w:r>
        <w:rPr>
          <w:rFonts w:cs="Arial"/>
          <w:color w:val="000000"/>
          <w:szCs w:val="24"/>
          <w:shd w:val="clear" w:color="auto" w:fill="FFFFFF"/>
        </w:rPr>
        <w:t xml:space="preserve">The Annual Workforce Equality Report provides the council with </w:t>
      </w:r>
      <w:r w:rsidR="005B3E25">
        <w:rPr>
          <w:rFonts w:cs="Arial"/>
          <w:color w:val="000000"/>
          <w:szCs w:val="24"/>
          <w:shd w:val="clear" w:color="auto" w:fill="FFFFFF"/>
        </w:rPr>
        <w:t xml:space="preserve">a detailed analysis of our workforce, which will contribute to </w:t>
      </w:r>
      <w:r w:rsidR="008D5B3D">
        <w:rPr>
          <w:rFonts w:cs="Arial"/>
          <w:color w:val="000000"/>
          <w:szCs w:val="24"/>
          <w:shd w:val="clear" w:color="auto" w:fill="FFFFFF"/>
        </w:rPr>
        <w:t>shaping our future corporate objectives on equality, diversity and inclusion.</w:t>
      </w:r>
    </w:p>
    <w:p w14:paraId="1046E7BE" w14:textId="6CD180CF" w:rsidR="00410C2B" w:rsidRPr="00110292" w:rsidRDefault="00410C2B" w:rsidP="00427308">
      <w:pPr>
        <w:spacing w:before="240"/>
        <w:jc w:val="both"/>
        <w:rPr>
          <w:b/>
          <w:szCs w:val="24"/>
        </w:rPr>
      </w:pPr>
      <w:r w:rsidRPr="00110292">
        <w:rPr>
          <w:b/>
          <w:szCs w:val="24"/>
        </w:rPr>
        <w:t xml:space="preserve">Ward Councillors’ comments </w:t>
      </w:r>
    </w:p>
    <w:p w14:paraId="60C3A10E" w14:textId="77777777" w:rsidR="005158B7" w:rsidRPr="00110292" w:rsidRDefault="005158B7" w:rsidP="00427308">
      <w:pPr>
        <w:jc w:val="both"/>
        <w:rPr>
          <w:b/>
        </w:rPr>
      </w:pPr>
    </w:p>
    <w:p w14:paraId="4C069264" w14:textId="0EF84630" w:rsidR="005158B7" w:rsidRPr="00110292" w:rsidRDefault="005B297F" w:rsidP="00427308">
      <w:pPr>
        <w:jc w:val="both"/>
        <w:rPr>
          <w:bCs/>
        </w:rPr>
      </w:pPr>
      <w:r>
        <w:rPr>
          <w:bCs/>
        </w:rPr>
        <w:t>This report does not affect any ward councillors, therefore their comments were not sought,</w:t>
      </w:r>
    </w:p>
    <w:p w14:paraId="5F0C3B52" w14:textId="77777777" w:rsidR="005158B7" w:rsidRPr="00110292" w:rsidRDefault="005158B7" w:rsidP="00427308">
      <w:pPr>
        <w:jc w:val="both"/>
        <w:rPr>
          <w:b/>
        </w:rPr>
      </w:pPr>
    </w:p>
    <w:p w14:paraId="5B02BBD4" w14:textId="77777777" w:rsidR="00167ACC" w:rsidRPr="00110292" w:rsidRDefault="00167ACC" w:rsidP="00427308">
      <w:pPr>
        <w:pStyle w:val="Heading4"/>
        <w:tabs>
          <w:tab w:val="left" w:pos="3600"/>
        </w:tabs>
        <w:jc w:val="both"/>
        <w:rPr>
          <w:szCs w:val="24"/>
        </w:rPr>
      </w:pPr>
      <w:r w:rsidRPr="00110292">
        <w:rPr>
          <w:szCs w:val="24"/>
        </w:rPr>
        <w:t>Performance Issues</w:t>
      </w:r>
    </w:p>
    <w:p w14:paraId="2EA3E58D" w14:textId="77777777" w:rsidR="005158B7" w:rsidRPr="00110292" w:rsidRDefault="005158B7" w:rsidP="00427308">
      <w:pPr>
        <w:pStyle w:val="paragraph"/>
        <w:spacing w:before="0" w:beforeAutospacing="0" w:after="0" w:afterAutospacing="0"/>
        <w:jc w:val="both"/>
        <w:textAlignment w:val="baseline"/>
        <w:rPr>
          <w:rFonts w:ascii="Arial" w:hAnsi="Arial" w:cs="Arial"/>
        </w:rPr>
      </w:pPr>
    </w:p>
    <w:p w14:paraId="2783BF9C" w14:textId="558D7F45" w:rsidR="002473C5" w:rsidRDefault="00FC1EF4" w:rsidP="00427308">
      <w:pPr>
        <w:pStyle w:val="Default"/>
        <w:jc w:val="both"/>
        <w:rPr>
          <w:color w:val="auto"/>
        </w:rPr>
      </w:pPr>
      <w:r>
        <w:rPr>
          <w:color w:val="auto"/>
        </w:rPr>
        <w:t xml:space="preserve">This report will help shape </w:t>
      </w:r>
      <w:r w:rsidR="002473C5">
        <w:rPr>
          <w:color w:val="auto"/>
        </w:rPr>
        <w:t xml:space="preserve">the council’s forthcoming corporate objectives on equality, diversity and inclusion, which will </w:t>
      </w:r>
      <w:r w:rsidR="006D127E">
        <w:rPr>
          <w:color w:val="auto"/>
        </w:rPr>
        <w:t>set out clearly our ambitions to create a fair and equitable workplace for all employees.</w:t>
      </w:r>
    </w:p>
    <w:p w14:paraId="19665093" w14:textId="6478C2F3" w:rsidR="00167ACC" w:rsidRPr="002473C5" w:rsidRDefault="00167ACC" w:rsidP="00427308">
      <w:pPr>
        <w:pStyle w:val="Default"/>
        <w:jc w:val="both"/>
        <w:rPr>
          <w:color w:val="auto"/>
        </w:rPr>
      </w:pPr>
      <w:r w:rsidRPr="00110292">
        <w:rPr>
          <w:rStyle w:val="eop"/>
        </w:rPr>
        <w:t> </w:t>
      </w:r>
    </w:p>
    <w:p w14:paraId="052DC869" w14:textId="77777777" w:rsidR="00167ACC" w:rsidRPr="00110292" w:rsidRDefault="00167ACC" w:rsidP="00427308">
      <w:pPr>
        <w:pStyle w:val="Heading4"/>
        <w:jc w:val="both"/>
        <w:rPr>
          <w:szCs w:val="24"/>
        </w:rPr>
      </w:pPr>
      <w:r w:rsidRPr="00110292">
        <w:rPr>
          <w:szCs w:val="24"/>
        </w:rPr>
        <w:t>Environmental Implications</w:t>
      </w:r>
    </w:p>
    <w:p w14:paraId="4F30BCF0" w14:textId="77777777" w:rsidR="005158B7" w:rsidRPr="00110292" w:rsidRDefault="005158B7" w:rsidP="00427308">
      <w:pPr>
        <w:pStyle w:val="paragraph"/>
        <w:spacing w:before="0" w:beforeAutospacing="0" w:after="0" w:afterAutospacing="0"/>
        <w:jc w:val="both"/>
        <w:textAlignment w:val="baseline"/>
        <w:rPr>
          <w:rStyle w:val="eop"/>
          <w:rFonts w:ascii="Arial" w:hAnsi="Arial" w:cs="Arial"/>
        </w:rPr>
      </w:pPr>
    </w:p>
    <w:p w14:paraId="1BCD1A7B" w14:textId="77777777" w:rsidR="005158B7" w:rsidRPr="00110292" w:rsidRDefault="005158B7" w:rsidP="00427308">
      <w:pPr>
        <w:jc w:val="both"/>
      </w:pPr>
      <w:r w:rsidRPr="00110292">
        <w:t>There are no environmental implications.</w:t>
      </w:r>
    </w:p>
    <w:p w14:paraId="0D2EA34F" w14:textId="62A781F0" w:rsidR="00167ACC" w:rsidRPr="00110292" w:rsidRDefault="00167ACC" w:rsidP="00427308">
      <w:pPr>
        <w:pStyle w:val="paragraph"/>
        <w:spacing w:before="0" w:beforeAutospacing="0" w:after="0" w:afterAutospacing="0"/>
        <w:jc w:val="both"/>
        <w:textAlignment w:val="baseline"/>
        <w:rPr>
          <w:rFonts w:ascii="Segoe UI" w:hAnsi="Segoe UI" w:cs="Segoe UI"/>
          <w:sz w:val="18"/>
          <w:szCs w:val="18"/>
        </w:rPr>
      </w:pPr>
      <w:r w:rsidRPr="00110292">
        <w:rPr>
          <w:rStyle w:val="eop"/>
          <w:rFonts w:ascii="Arial" w:hAnsi="Arial" w:cs="Arial"/>
        </w:rPr>
        <w:t> </w:t>
      </w:r>
    </w:p>
    <w:p w14:paraId="513BB436" w14:textId="77777777" w:rsidR="00167ACC" w:rsidRPr="00110292" w:rsidRDefault="00167ACC" w:rsidP="00427308">
      <w:pPr>
        <w:pStyle w:val="Heading4"/>
        <w:jc w:val="both"/>
        <w:rPr>
          <w:szCs w:val="24"/>
        </w:rPr>
      </w:pPr>
      <w:r w:rsidRPr="00110292">
        <w:rPr>
          <w:szCs w:val="24"/>
        </w:rPr>
        <w:t>Data Protection Implications</w:t>
      </w:r>
    </w:p>
    <w:p w14:paraId="34C7F667" w14:textId="31ECB8E8" w:rsidR="00167ACC" w:rsidRPr="00110292" w:rsidRDefault="00167ACC" w:rsidP="00427308">
      <w:pPr>
        <w:tabs>
          <w:tab w:val="left" w:pos="7245"/>
        </w:tabs>
        <w:jc w:val="both"/>
      </w:pPr>
    </w:p>
    <w:p w14:paraId="470E4868" w14:textId="77777777" w:rsidR="005158B7" w:rsidRPr="00110292" w:rsidRDefault="005158B7" w:rsidP="00427308">
      <w:pPr>
        <w:jc w:val="both"/>
      </w:pPr>
      <w:r w:rsidRPr="00110292">
        <w:t>There are no data protection implications.</w:t>
      </w:r>
    </w:p>
    <w:p w14:paraId="617E584C" w14:textId="77777777" w:rsidR="005158B7" w:rsidRPr="00110292" w:rsidRDefault="005158B7" w:rsidP="00427308">
      <w:pPr>
        <w:tabs>
          <w:tab w:val="left" w:pos="7245"/>
        </w:tabs>
        <w:jc w:val="both"/>
        <w:rPr>
          <w:i/>
        </w:rPr>
      </w:pPr>
    </w:p>
    <w:p w14:paraId="76449499" w14:textId="77777777" w:rsidR="00167ACC" w:rsidRPr="00110292" w:rsidRDefault="00167ACC" w:rsidP="00427308">
      <w:pPr>
        <w:pStyle w:val="Heading3"/>
      </w:pPr>
      <w:r w:rsidRPr="00110292">
        <w:t>Risk Management Implications</w:t>
      </w:r>
    </w:p>
    <w:p w14:paraId="26782D61" w14:textId="0ED8C3D9" w:rsidR="005158B7" w:rsidRDefault="005158B7" w:rsidP="00427308">
      <w:pPr>
        <w:tabs>
          <w:tab w:val="left" w:pos="5610"/>
        </w:tabs>
        <w:ind w:right="81"/>
        <w:jc w:val="both"/>
        <w:rPr>
          <w:b/>
          <w:sz w:val="28"/>
          <w:szCs w:val="28"/>
        </w:rPr>
      </w:pPr>
    </w:p>
    <w:p w14:paraId="2CDE0472" w14:textId="0B60A670" w:rsidR="00B4653A" w:rsidRDefault="00B4653A" w:rsidP="00427308">
      <w:pPr>
        <w:tabs>
          <w:tab w:val="left" w:pos="5610"/>
        </w:tabs>
        <w:ind w:right="81"/>
        <w:jc w:val="both"/>
        <w:rPr>
          <w:bCs/>
          <w:szCs w:val="24"/>
        </w:rPr>
      </w:pPr>
      <w:r w:rsidRPr="00B4653A">
        <w:rPr>
          <w:bCs/>
          <w:szCs w:val="24"/>
        </w:rPr>
        <w:t>There are no risk implications.</w:t>
      </w:r>
    </w:p>
    <w:p w14:paraId="15DDCE23" w14:textId="77777777" w:rsidR="00B4653A" w:rsidRPr="00B4653A" w:rsidRDefault="00B4653A" w:rsidP="00427308">
      <w:pPr>
        <w:tabs>
          <w:tab w:val="left" w:pos="5610"/>
        </w:tabs>
        <w:ind w:right="81"/>
        <w:jc w:val="both"/>
        <w:rPr>
          <w:rFonts w:cs="Arial"/>
          <w:bCs/>
          <w:sz w:val="22"/>
          <w:szCs w:val="22"/>
          <w:lang w:val="en-US"/>
        </w:rPr>
      </w:pPr>
    </w:p>
    <w:p w14:paraId="6B71B22F" w14:textId="156D4B68" w:rsidR="005158B7" w:rsidRPr="00110292" w:rsidRDefault="005158B7" w:rsidP="00427308">
      <w:pPr>
        <w:tabs>
          <w:tab w:val="left" w:pos="5610"/>
        </w:tabs>
        <w:ind w:right="81"/>
        <w:jc w:val="both"/>
        <w:rPr>
          <w:rFonts w:cs="Arial"/>
          <w:b/>
          <w:bCs/>
          <w:szCs w:val="24"/>
          <w:lang w:val="en-US"/>
        </w:rPr>
      </w:pPr>
      <w:r w:rsidRPr="00110292">
        <w:rPr>
          <w:rFonts w:cs="Arial"/>
          <w:szCs w:val="24"/>
          <w:lang w:val="en-US"/>
        </w:rPr>
        <w:t xml:space="preserve">Risks included on corporate or directorate risk register? </w:t>
      </w:r>
      <w:r w:rsidR="00A337D4">
        <w:rPr>
          <w:rFonts w:cs="Arial"/>
          <w:b/>
          <w:bCs/>
          <w:szCs w:val="24"/>
          <w:lang w:val="en-US"/>
        </w:rPr>
        <w:t>No</w:t>
      </w:r>
    </w:p>
    <w:p w14:paraId="03CDAE03" w14:textId="77777777" w:rsidR="005158B7" w:rsidRPr="00110292" w:rsidRDefault="005158B7" w:rsidP="00427308">
      <w:pPr>
        <w:tabs>
          <w:tab w:val="left" w:pos="5610"/>
        </w:tabs>
        <w:ind w:right="81"/>
        <w:jc w:val="both"/>
        <w:rPr>
          <w:rFonts w:cs="Arial"/>
          <w:szCs w:val="24"/>
          <w:lang w:val="en-US" w:eastAsia="en-GB"/>
        </w:rPr>
      </w:pPr>
    </w:p>
    <w:p w14:paraId="0499632A" w14:textId="77777777" w:rsidR="005158B7" w:rsidRPr="00110292" w:rsidRDefault="005158B7" w:rsidP="00427308">
      <w:pPr>
        <w:ind w:left="-142" w:right="141" w:firstLine="142"/>
        <w:jc w:val="both"/>
        <w:rPr>
          <w:rFonts w:cs="Arial"/>
          <w:szCs w:val="24"/>
          <w:lang w:val="en-US" w:eastAsia="en-GB"/>
        </w:rPr>
      </w:pPr>
      <w:r w:rsidRPr="00110292">
        <w:rPr>
          <w:rFonts w:cs="Arial"/>
          <w:szCs w:val="24"/>
          <w:lang w:val="en-US" w:eastAsia="en-GB"/>
        </w:rPr>
        <w:lastRenderedPageBreak/>
        <w:t xml:space="preserve">Separate risk register in place? </w:t>
      </w:r>
      <w:r w:rsidRPr="00110292">
        <w:rPr>
          <w:rFonts w:cs="Arial"/>
          <w:b/>
          <w:bCs/>
          <w:szCs w:val="24"/>
          <w:lang w:val="en-US" w:eastAsia="en-GB"/>
        </w:rPr>
        <w:t>No</w:t>
      </w:r>
    </w:p>
    <w:p w14:paraId="0B7DECF8" w14:textId="77777777" w:rsidR="005158B7" w:rsidRPr="00110292" w:rsidRDefault="005158B7" w:rsidP="00427308">
      <w:pPr>
        <w:tabs>
          <w:tab w:val="left" w:pos="5610"/>
        </w:tabs>
        <w:ind w:left="567" w:right="81" w:hanging="567"/>
        <w:jc w:val="both"/>
      </w:pPr>
    </w:p>
    <w:p w14:paraId="1FFF7463" w14:textId="3F43F0ED" w:rsidR="008D0B76" w:rsidRPr="00110292" w:rsidRDefault="008D0B76" w:rsidP="00427308">
      <w:pPr>
        <w:pStyle w:val="Heading3"/>
        <w:spacing w:before="240"/>
      </w:pPr>
      <w:r w:rsidRPr="00110292">
        <w:t>Legal Implications</w:t>
      </w:r>
    </w:p>
    <w:p w14:paraId="33293097" w14:textId="4626B013" w:rsidR="006536CA" w:rsidRDefault="00F524B5" w:rsidP="00427308">
      <w:pPr>
        <w:jc w:val="both"/>
      </w:pPr>
      <w:r>
        <w:t xml:space="preserve">The nine protected characteristics </w:t>
      </w:r>
      <w:r w:rsidR="000A2981">
        <w:t xml:space="preserve">are set out in the Equality </w:t>
      </w:r>
      <w:r w:rsidR="00362B26">
        <w:t>A</w:t>
      </w:r>
      <w:r w:rsidR="000A2981">
        <w:t>ct</w:t>
      </w:r>
      <w:r w:rsidR="001E3DDF">
        <w:t xml:space="preserve"> 2010</w:t>
      </w:r>
      <w:r w:rsidR="005A051A">
        <w:t xml:space="preserve"> and Section 149 which sets out the public sector equality duty</w:t>
      </w:r>
      <w:r w:rsidR="00EC67CC">
        <w:t xml:space="preserve"> (PSED)</w:t>
      </w:r>
      <w:r w:rsidR="005A051A">
        <w:t xml:space="preserve">. </w:t>
      </w:r>
      <w:r w:rsidR="00FA0668">
        <w:t xml:space="preserve">The duty is detailed below in the </w:t>
      </w:r>
      <w:r w:rsidR="0043479D">
        <w:t>equality section.</w:t>
      </w:r>
    </w:p>
    <w:p w14:paraId="553DB014" w14:textId="77777777" w:rsidR="0043479D" w:rsidRDefault="0043479D" w:rsidP="00427308">
      <w:pPr>
        <w:jc w:val="both"/>
      </w:pPr>
    </w:p>
    <w:p w14:paraId="2620D049" w14:textId="4A220DE4" w:rsidR="008D0B76" w:rsidRPr="00110292" w:rsidRDefault="00AD41AA" w:rsidP="00FA0668">
      <w:pPr>
        <w:jc w:val="both"/>
      </w:pPr>
      <w:r>
        <w:t>Obligations</w:t>
      </w:r>
      <w:r w:rsidR="006536CA">
        <w:t xml:space="preserve"> to publish information and set out objectives </w:t>
      </w:r>
      <w:r w:rsidR="00236583">
        <w:t xml:space="preserve">are contained in the </w:t>
      </w:r>
      <w:r w:rsidR="0043479D">
        <w:t>Equality</w:t>
      </w:r>
      <w:r w:rsidR="00236583">
        <w:t xml:space="preserve"> Act 2010 (Specific Duties and Public Authorities) Regulations </w:t>
      </w:r>
      <w:r>
        <w:t xml:space="preserve">SI 2017/353. The Council is </w:t>
      </w:r>
      <w:r w:rsidR="00EC67CC">
        <w:t>required to publish information to demonstrate its compliance with the PSED</w:t>
      </w:r>
      <w:r w:rsidR="0043479D">
        <w:t xml:space="preserve">. </w:t>
      </w:r>
      <w:r w:rsidR="003B53F4">
        <w:t xml:space="preserve">The information must include information relating to persons who share a protected characteristic, who are its employees, or who are affected by the council’s policies or practices. </w:t>
      </w:r>
      <w:r w:rsidR="00CE2D17">
        <w:t>This includes gender pay gap information</w:t>
      </w:r>
      <w:r w:rsidR="00031ACA">
        <w:t xml:space="preserve">. </w:t>
      </w:r>
      <w:r w:rsidR="003B53F4">
        <w:t xml:space="preserve">Publication is required annually. </w:t>
      </w:r>
      <w:r w:rsidR="00E066F6">
        <w:t xml:space="preserve">The </w:t>
      </w:r>
      <w:r w:rsidR="008204D9" w:rsidRPr="00E066F6">
        <w:t xml:space="preserve">requirements </w:t>
      </w:r>
      <w:r w:rsidR="008204D9">
        <w:t>are</w:t>
      </w:r>
      <w:r w:rsidR="00E066F6">
        <w:t xml:space="preserve"> </w:t>
      </w:r>
      <w:r w:rsidR="00E066F6" w:rsidRPr="00E066F6">
        <w:t>to publish the information in a manner that is accessible to the public.</w:t>
      </w:r>
    </w:p>
    <w:p w14:paraId="79A96F1E" w14:textId="77777777" w:rsidR="005441BD" w:rsidRPr="00110292" w:rsidRDefault="005441BD" w:rsidP="00427308">
      <w:pPr>
        <w:pStyle w:val="Heading3"/>
        <w:spacing w:before="240"/>
      </w:pPr>
      <w:r w:rsidRPr="00110292">
        <w:t>Financial Implications</w:t>
      </w:r>
    </w:p>
    <w:p w14:paraId="7418BCF8" w14:textId="77777777" w:rsidR="008D0B76" w:rsidRPr="00110292" w:rsidRDefault="008D0B76" w:rsidP="00427308">
      <w:pPr>
        <w:jc w:val="both"/>
      </w:pPr>
    </w:p>
    <w:p w14:paraId="03F64E52" w14:textId="1DDDA830" w:rsidR="005158B7" w:rsidRPr="00110292" w:rsidRDefault="00B4653A" w:rsidP="00427308">
      <w:pPr>
        <w:pStyle w:val="Default"/>
        <w:jc w:val="both"/>
        <w:rPr>
          <w:color w:val="auto"/>
        </w:rPr>
      </w:pPr>
      <w:r>
        <w:rPr>
          <w:color w:val="auto"/>
        </w:rPr>
        <w:t>There are no financial implications as a result of this report.</w:t>
      </w:r>
    </w:p>
    <w:p w14:paraId="2B175A09" w14:textId="77777777" w:rsidR="000D5D8B" w:rsidRPr="00110292" w:rsidRDefault="000D5D8B" w:rsidP="00427308">
      <w:pPr>
        <w:pStyle w:val="Heading3"/>
        <w:spacing w:before="240"/>
      </w:pPr>
      <w:r w:rsidRPr="00110292">
        <w:t>Equalities implications / Public Sector Equality Duty</w:t>
      </w:r>
    </w:p>
    <w:p w14:paraId="39E5C4AA" w14:textId="77777777" w:rsidR="000D5D8B" w:rsidRPr="00110292" w:rsidRDefault="000D5D8B" w:rsidP="00427308">
      <w:pPr>
        <w:jc w:val="both"/>
      </w:pPr>
    </w:p>
    <w:p w14:paraId="49BC4D71" w14:textId="77777777" w:rsidR="005158B7" w:rsidRPr="00110292" w:rsidRDefault="005158B7" w:rsidP="00427308">
      <w:pPr>
        <w:jc w:val="both"/>
      </w:pPr>
      <w:r w:rsidRPr="00110292">
        <w:t>Decision makers should have due regard to the public sector equality duty</w:t>
      </w:r>
    </w:p>
    <w:p w14:paraId="57F3BD65" w14:textId="77777777" w:rsidR="005158B7" w:rsidRPr="00110292" w:rsidRDefault="005158B7" w:rsidP="00427308">
      <w:pPr>
        <w:jc w:val="both"/>
      </w:pPr>
      <w:r w:rsidRPr="00110292">
        <w:t>in making their decisions. The equalities duties are continuing duties they</w:t>
      </w:r>
    </w:p>
    <w:p w14:paraId="3CB5A143" w14:textId="77777777" w:rsidR="005158B7" w:rsidRPr="00110292" w:rsidRDefault="005158B7" w:rsidP="00427308">
      <w:pPr>
        <w:jc w:val="both"/>
      </w:pPr>
      <w:r w:rsidRPr="00110292">
        <w:t>are not duties to secure a particular outcome. The equalities impact will be</w:t>
      </w:r>
    </w:p>
    <w:p w14:paraId="1EF84B74" w14:textId="77777777" w:rsidR="005158B7" w:rsidRPr="00110292" w:rsidRDefault="005158B7" w:rsidP="00427308">
      <w:pPr>
        <w:jc w:val="both"/>
      </w:pPr>
      <w:r w:rsidRPr="00110292">
        <w:t>revisited on each of the proposals as they are developed. Consideration of</w:t>
      </w:r>
    </w:p>
    <w:p w14:paraId="367358E3" w14:textId="77777777" w:rsidR="005158B7" w:rsidRPr="00110292" w:rsidRDefault="005158B7" w:rsidP="00427308">
      <w:pPr>
        <w:jc w:val="both"/>
      </w:pPr>
      <w:r w:rsidRPr="00110292">
        <w:t>the duties should precede the decision. It is important that Cabinet has</w:t>
      </w:r>
    </w:p>
    <w:p w14:paraId="0225DBB4" w14:textId="77777777" w:rsidR="005158B7" w:rsidRPr="00110292" w:rsidRDefault="005158B7" w:rsidP="00427308">
      <w:pPr>
        <w:jc w:val="both"/>
      </w:pPr>
      <w:r w:rsidRPr="00110292">
        <w:t>regard to the statutory grounds in the light of all available material such as</w:t>
      </w:r>
    </w:p>
    <w:p w14:paraId="016A36B3" w14:textId="7A5BAC88" w:rsidR="005158B7" w:rsidRPr="00110292" w:rsidRDefault="005158B7" w:rsidP="00427308">
      <w:pPr>
        <w:jc w:val="both"/>
      </w:pPr>
      <w:r w:rsidRPr="00110292">
        <w:t>consultation responses from staff</w:t>
      </w:r>
      <w:r w:rsidR="00110292">
        <w:t>.</w:t>
      </w:r>
      <w:r w:rsidRPr="00110292">
        <w:t xml:space="preserve"> The statutory grounds of the public sector equality duty are found at section 149 of the Equality Act 2010 and are as follows:</w:t>
      </w:r>
    </w:p>
    <w:p w14:paraId="62C12E3F" w14:textId="77777777" w:rsidR="005158B7" w:rsidRPr="00110292" w:rsidRDefault="005158B7" w:rsidP="00427308">
      <w:pPr>
        <w:jc w:val="both"/>
      </w:pPr>
    </w:p>
    <w:p w14:paraId="281800B9" w14:textId="77777777" w:rsidR="005158B7" w:rsidRPr="00110292" w:rsidRDefault="005158B7" w:rsidP="00427308">
      <w:pPr>
        <w:jc w:val="both"/>
      </w:pPr>
      <w:r w:rsidRPr="00110292">
        <w:t>A public authority must, in the exercise of its functions, have due regard to</w:t>
      </w:r>
    </w:p>
    <w:p w14:paraId="3BE077C6" w14:textId="77777777" w:rsidR="005158B7" w:rsidRPr="00110292" w:rsidRDefault="005158B7" w:rsidP="00427308">
      <w:pPr>
        <w:jc w:val="both"/>
      </w:pPr>
      <w:r w:rsidRPr="00110292">
        <w:t>the need to:</w:t>
      </w:r>
    </w:p>
    <w:p w14:paraId="2D5FB41B" w14:textId="77777777" w:rsidR="005158B7" w:rsidRPr="00110292" w:rsidRDefault="005158B7" w:rsidP="00427308">
      <w:pPr>
        <w:jc w:val="both"/>
      </w:pPr>
    </w:p>
    <w:p w14:paraId="4B8D4D18" w14:textId="77777777" w:rsidR="005158B7" w:rsidRPr="00110292" w:rsidRDefault="005158B7" w:rsidP="00427308">
      <w:pPr>
        <w:jc w:val="both"/>
      </w:pPr>
      <w:r w:rsidRPr="00110292">
        <w:t>(a) eliminate discrimination, harassment, victimisation and any other conduct</w:t>
      </w:r>
    </w:p>
    <w:p w14:paraId="06D37108" w14:textId="77777777" w:rsidR="005158B7" w:rsidRPr="00110292" w:rsidRDefault="005158B7" w:rsidP="00427308">
      <w:pPr>
        <w:jc w:val="both"/>
      </w:pPr>
      <w:r w:rsidRPr="00110292">
        <w:t>that is prohibited by or under this Act;</w:t>
      </w:r>
    </w:p>
    <w:p w14:paraId="78A3F52D" w14:textId="77777777" w:rsidR="005158B7" w:rsidRPr="00110292" w:rsidRDefault="005158B7" w:rsidP="00427308">
      <w:pPr>
        <w:jc w:val="both"/>
      </w:pPr>
      <w:r w:rsidRPr="00110292">
        <w:t>(b) advance equality of opportunity between persons who share a relevant</w:t>
      </w:r>
    </w:p>
    <w:p w14:paraId="4501C52B" w14:textId="77777777" w:rsidR="005158B7" w:rsidRPr="00110292" w:rsidRDefault="005158B7" w:rsidP="00427308">
      <w:pPr>
        <w:jc w:val="both"/>
      </w:pPr>
      <w:r w:rsidRPr="00110292">
        <w:t>protected characteristic and persons who do not share it;</w:t>
      </w:r>
    </w:p>
    <w:p w14:paraId="6FF5EC58" w14:textId="77777777" w:rsidR="005158B7" w:rsidRPr="00110292" w:rsidRDefault="005158B7" w:rsidP="00427308">
      <w:pPr>
        <w:jc w:val="both"/>
      </w:pPr>
      <w:r w:rsidRPr="00110292">
        <w:t>(c) Foster good relations between persons who share a relevant protected</w:t>
      </w:r>
    </w:p>
    <w:p w14:paraId="4878D11F" w14:textId="77777777" w:rsidR="005158B7" w:rsidRPr="00110292" w:rsidRDefault="005158B7" w:rsidP="00427308">
      <w:pPr>
        <w:jc w:val="both"/>
      </w:pPr>
      <w:r w:rsidRPr="00110292">
        <w:t>characteristic and persons who do not share it.</w:t>
      </w:r>
    </w:p>
    <w:p w14:paraId="5DFB747E" w14:textId="77777777" w:rsidR="005158B7" w:rsidRPr="00110292" w:rsidRDefault="005158B7" w:rsidP="00427308">
      <w:pPr>
        <w:jc w:val="both"/>
      </w:pPr>
      <w:r w:rsidRPr="00110292">
        <w:t>Having due regard to the need to advance equality of opportunity between</w:t>
      </w:r>
    </w:p>
    <w:p w14:paraId="12B0E4A3" w14:textId="77777777" w:rsidR="005158B7" w:rsidRPr="00110292" w:rsidRDefault="005158B7" w:rsidP="00427308">
      <w:pPr>
        <w:jc w:val="both"/>
      </w:pPr>
      <w:r w:rsidRPr="00110292">
        <w:t>persons who share a relevant protected characteristic and persons who do</w:t>
      </w:r>
    </w:p>
    <w:p w14:paraId="273FF30B" w14:textId="77777777" w:rsidR="005158B7" w:rsidRPr="00110292" w:rsidRDefault="005158B7" w:rsidP="00427308">
      <w:pPr>
        <w:jc w:val="both"/>
      </w:pPr>
      <w:r w:rsidRPr="00110292">
        <w:t>not share it involves having due regard, in particular, to the need to:</w:t>
      </w:r>
    </w:p>
    <w:p w14:paraId="5B5BBED1" w14:textId="77777777" w:rsidR="005158B7" w:rsidRPr="00110292" w:rsidRDefault="005158B7" w:rsidP="00427308">
      <w:pPr>
        <w:jc w:val="both"/>
      </w:pPr>
      <w:r w:rsidRPr="00110292">
        <w:t>(a) remove or minimise disadvantages suffered by persons who share a</w:t>
      </w:r>
    </w:p>
    <w:p w14:paraId="69B43F40" w14:textId="77777777" w:rsidR="005158B7" w:rsidRPr="00110292" w:rsidRDefault="005158B7" w:rsidP="00427308">
      <w:pPr>
        <w:jc w:val="both"/>
      </w:pPr>
      <w:r w:rsidRPr="00110292">
        <w:t>relevant protected characteristic that are connected to that characteristic;</w:t>
      </w:r>
    </w:p>
    <w:p w14:paraId="42EB6699" w14:textId="77777777" w:rsidR="005158B7" w:rsidRPr="00110292" w:rsidRDefault="005158B7" w:rsidP="00427308">
      <w:pPr>
        <w:jc w:val="both"/>
      </w:pPr>
      <w:r w:rsidRPr="00110292">
        <w:t>(b) take steps to meet the needs of persons who share a relevant protected</w:t>
      </w:r>
    </w:p>
    <w:p w14:paraId="5BCBC815" w14:textId="77777777" w:rsidR="005158B7" w:rsidRPr="00110292" w:rsidRDefault="005158B7" w:rsidP="00427308">
      <w:pPr>
        <w:jc w:val="both"/>
      </w:pPr>
      <w:r w:rsidRPr="00110292">
        <w:t>characteristic that are different from the needs of persons who do not</w:t>
      </w:r>
    </w:p>
    <w:p w14:paraId="33C7B8ED" w14:textId="77777777" w:rsidR="005158B7" w:rsidRPr="00110292" w:rsidRDefault="005158B7" w:rsidP="00427308">
      <w:pPr>
        <w:jc w:val="both"/>
      </w:pPr>
      <w:r w:rsidRPr="00110292">
        <w:t>share it;</w:t>
      </w:r>
    </w:p>
    <w:p w14:paraId="100E3A23" w14:textId="77777777" w:rsidR="005158B7" w:rsidRPr="00110292" w:rsidRDefault="005158B7" w:rsidP="00427308">
      <w:pPr>
        <w:jc w:val="both"/>
      </w:pPr>
      <w:r w:rsidRPr="00110292">
        <w:t>(c) Encourage persons who share a relevant protected characteristic to</w:t>
      </w:r>
    </w:p>
    <w:p w14:paraId="0CD9029F" w14:textId="77777777" w:rsidR="005158B7" w:rsidRPr="00110292" w:rsidRDefault="005158B7" w:rsidP="00427308">
      <w:pPr>
        <w:jc w:val="both"/>
      </w:pPr>
      <w:r w:rsidRPr="00110292">
        <w:t>participate in public life or in any other activity in which participation by</w:t>
      </w:r>
    </w:p>
    <w:p w14:paraId="7C46402F" w14:textId="77777777" w:rsidR="005158B7" w:rsidRPr="00110292" w:rsidRDefault="005158B7" w:rsidP="00427308">
      <w:pPr>
        <w:jc w:val="both"/>
      </w:pPr>
      <w:r w:rsidRPr="00110292">
        <w:lastRenderedPageBreak/>
        <w:t>such persons is disproportionately low.</w:t>
      </w:r>
    </w:p>
    <w:p w14:paraId="2E1954A5" w14:textId="77777777" w:rsidR="005158B7" w:rsidRPr="00110292" w:rsidRDefault="005158B7" w:rsidP="00427308">
      <w:pPr>
        <w:jc w:val="both"/>
      </w:pPr>
      <w:r w:rsidRPr="00110292">
        <w:t>The steps involved in meeting the needs of disabled persons that are</w:t>
      </w:r>
    </w:p>
    <w:p w14:paraId="1CD1044D" w14:textId="77777777" w:rsidR="005158B7" w:rsidRPr="00110292" w:rsidRDefault="005158B7" w:rsidP="00427308">
      <w:pPr>
        <w:jc w:val="both"/>
      </w:pPr>
      <w:r w:rsidRPr="00110292">
        <w:t>different from the needs of persons who are not disabled include, in</w:t>
      </w:r>
    </w:p>
    <w:p w14:paraId="199EC6F5" w14:textId="77777777" w:rsidR="005158B7" w:rsidRPr="00110292" w:rsidRDefault="005158B7" w:rsidP="00427308">
      <w:pPr>
        <w:jc w:val="both"/>
      </w:pPr>
      <w:r w:rsidRPr="00110292">
        <w:t>particular, steps to take account of disabled persons’ disabilities.</w:t>
      </w:r>
    </w:p>
    <w:p w14:paraId="7B435554" w14:textId="77777777" w:rsidR="005158B7" w:rsidRPr="00110292" w:rsidRDefault="005158B7" w:rsidP="00427308">
      <w:pPr>
        <w:jc w:val="both"/>
      </w:pPr>
      <w:r w:rsidRPr="00110292">
        <w:t>Having due regard to the need to foster good relations between persons</w:t>
      </w:r>
    </w:p>
    <w:p w14:paraId="612D7DC9" w14:textId="77777777" w:rsidR="005158B7" w:rsidRPr="00110292" w:rsidRDefault="005158B7" w:rsidP="00427308">
      <w:pPr>
        <w:jc w:val="both"/>
      </w:pPr>
      <w:r w:rsidRPr="00110292">
        <w:t>who share a relevant protected characteristic and persons who do not</w:t>
      </w:r>
    </w:p>
    <w:p w14:paraId="293F750B" w14:textId="77777777" w:rsidR="005158B7" w:rsidRPr="00110292" w:rsidRDefault="005158B7" w:rsidP="00427308">
      <w:pPr>
        <w:jc w:val="both"/>
      </w:pPr>
      <w:r w:rsidRPr="00110292">
        <w:t>share it involves having due regard, in particular, to the need to:</w:t>
      </w:r>
    </w:p>
    <w:p w14:paraId="0279E57E" w14:textId="77777777" w:rsidR="005158B7" w:rsidRPr="00110292" w:rsidRDefault="005158B7" w:rsidP="00427308">
      <w:pPr>
        <w:jc w:val="both"/>
      </w:pPr>
      <w:r w:rsidRPr="00110292">
        <w:t>(a) Tackle prejudice, and</w:t>
      </w:r>
    </w:p>
    <w:p w14:paraId="1965B29F" w14:textId="77777777" w:rsidR="005158B7" w:rsidRPr="00110292" w:rsidRDefault="005158B7" w:rsidP="00427308">
      <w:pPr>
        <w:jc w:val="both"/>
      </w:pPr>
      <w:r w:rsidRPr="00110292">
        <w:t>(b) Promote understanding.</w:t>
      </w:r>
    </w:p>
    <w:p w14:paraId="6D8238CE" w14:textId="77777777" w:rsidR="005158B7" w:rsidRPr="00110292" w:rsidRDefault="005158B7" w:rsidP="00427308">
      <w:pPr>
        <w:jc w:val="both"/>
      </w:pPr>
      <w:r w:rsidRPr="00110292">
        <w:t>Compliance with the duties in this section may involve treating some</w:t>
      </w:r>
    </w:p>
    <w:p w14:paraId="37CA2CC6" w14:textId="77777777" w:rsidR="005158B7" w:rsidRPr="00110292" w:rsidRDefault="005158B7" w:rsidP="00427308">
      <w:pPr>
        <w:jc w:val="both"/>
      </w:pPr>
      <w:r w:rsidRPr="00110292">
        <w:t>persons more favourably than others; but that is not to be taken as</w:t>
      </w:r>
    </w:p>
    <w:p w14:paraId="62247E2C" w14:textId="77777777" w:rsidR="005158B7" w:rsidRPr="00110292" w:rsidRDefault="005158B7" w:rsidP="00427308">
      <w:pPr>
        <w:jc w:val="both"/>
      </w:pPr>
      <w:r w:rsidRPr="00110292">
        <w:t>permitting conduct that would otherwise be prohibited by or under this Act.</w:t>
      </w:r>
    </w:p>
    <w:p w14:paraId="2D093A73" w14:textId="77777777" w:rsidR="005158B7" w:rsidRPr="00110292" w:rsidRDefault="005158B7" w:rsidP="00427308">
      <w:pPr>
        <w:jc w:val="both"/>
      </w:pPr>
    </w:p>
    <w:p w14:paraId="561406CC" w14:textId="77777777" w:rsidR="005158B7" w:rsidRPr="00110292" w:rsidRDefault="005158B7" w:rsidP="00427308">
      <w:pPr>
        <w:jc w:val="both"/>
      </w:pPr>
      <w:r w:rsidRPr="00110292">
        <w:t>The relevant protected characteristics are:</w:t>
      </w:r>
    </w:p>
    <w:p w14:paraId="5955A2B7" w14:textId="77777777" w:rsidR="005158B7" w:rsidRPr="00110292" w:rsidRDefault="005158B7" w:rsidP="00427308">
      <w:pPr>
        <w:jc w:val="both"/>
      </w:pPr>
      <w:r w:rsidRPr="00110292">
        <w:t> Age</w:t>
      </w:r>
    </w:p>
    <w:p w14:paraId="455021D1" w14:textId="77777777" w:rsidR="005158B7" w:rsidRPr="00110292" w:rsidRDefault="005158B7" w:rsidP="00427308">
      <w:pPr>
        <w:jc w:val="both"/>
      </w:pPr>
      <w:r w:rsidRPr="00110292">
        <w:t> Disability</w:t>
      </w:r>
    </w:p>
    <w:p w14:paraId="2E2E38E0" w14:textId="77777777" w:rsidR="005158B7" w:rsidRPr="00110292" w:rsidRDefault="005158B7" w:rsidP="00427308">
      <w:pPr>
        <w:jc w:val="both"/>
      </w:pPr>
      <w:r w:rsidRPr="00110292">
        <w:t> Gender reassignment</w:t>
      </w:r>
    </w:p>
    <w:p w14:paraId="3E48BD12" w14:textId="77777777" w:rsidR="005158B7" w:rsidRPr="00110292" w:rsidRDefault="005158B7" w:rsidP="00427308">
      <w:pPr>
        <w:jc w:val="both"/>
      </w:pPr>
      <w:r w:rsidRPr="00110292">
        <w:t> Pregnancy and maternity</w:t>
      </w:r>
    </w:p>
    <w:p w14:paraId="078A3143" w14:textId="77777777" w:rsidR="005158B7" w:rsidRPr="00110292" w:rsidRDefault="005158B7" w:rsidP="00427308">
      <w:pPr>
        <w:jc w:val="both"/>
      </w:pPr>
      <w:r w:rsidRPr="00110292">
        <w:t> Race</w:t>
      </w:r>
    </w:p>
    <w:p w14:paraId="5B908306" w14:textId="77777777" w:rsidR="005158B7" w:rsidRPr="00110292" w:rsidRDefault="005158B7" w:rsidP="00427308">
      <w:pPr>
        <w:jc w:val="both"/>
      </w:pPr>
      <w:r w:rsidRPr="00110292">
        <w:t> Religion or belief</w:t>
      </w:r>
    </w:p>
    <w:p w14:paraId="51FF530C" w14:textId="77777777" w:rsidR="005158B7" w:rsidRPr="00110292" w:rsidRDefault="005158B7" w:rsidP="00427308">
      <w:pPr>
        <w:jc w:val="both"/>
      </w:pPr>
      <w:r w:rsidRPr="00110292">
        <w:t> Sex</w:t>
      </w:r>
    </w:p>
    <w:p w14:paraId="4B21D358" w14:textId="77777777" w:rsidR="005158B7" w:rsidRPr="00110292" w:rsidRDefault="005158B7" w:rsidP="00427308">
      <w:pPr>
        <w:jc w:val="both"/>
      </w:pPr>
      <w:r w:rsidRPr="00110292">
        <w:t> Sexual orientation</w:t>
      </w:r>
    </w:p>
    <w:p w14:paraId="6BB5A498" w14:textId="77777777" w:rsidR="005158B7" w:rsidRPr="00110292" w:rsidRDefault="005158B7" w:rsidP="00427308">
      <w:pPr>
        <w:jc w:val="both"/>
      </w:pPr>
      <w:r w:rsidRPr="00110292">
        <w:t> Marriage and Civil partnership</w:t>
      </w:r>
    </w:p>
    <w:p w14:paraId="32783BF4" w14:textId="568A70AA" w:rsidR="005158B7" w:rsidRDefault="005158B7" w:rsidP="00427308">
      <w:pPr>
        <w:jc w:val="both"/>
      </w:pPr>
    </w:p>
    <w:p w14:paraId="1811143C" w14:textId="6241F98B" w:rsidR="0079450E" w:rsidRDefault="0079450E" w:rsidP="00427308">
      <w:pPr>
        <w:jc w:val="both"/>
      </w:pPr>
      <w:r w:rsidRPr="00110292">
        <w:t xml:space="preserve">The </w:t>
      </w:r>
      <w:r>
        <w:t>Annual Workforce Equality Report</w:t>
      </w:r>
      <w:r w:rsidRPr="00110292">
        <w:t xml:space="preserve"> will have a positive impact on the council’s </w:t>
      </w:r>
      <w:r>
        <w:t>renewed focus to tackle inequality in the workplace and to address the issue of under-representation across the council.</w:t>
      </w:r>
    </w:p>
    <w:p w14:paraId="24A8ED5A" w14:textId="6C8A7778" w:rsidR="00432050" w:rsidRPr="00110292" w:rsidRDefault="00D33AE8" w:rsidP="00427308">
      <w:pPr>
        <w:pStyle w:val="Heading3"/>
        <w:spacing w:before="240"/>
        <w:ind w:left="0" w:firstLine="0"/>
      </w:pPr>
      <w:r w:rsidRPr="00110292">
        <w:t xml:space="preserve">Council </w:t>
      </w:r>
      <w:r w:rsidR="00432050" w:rsidRPr="00110292">
        <w:t>Priorities</w:t>
      </w:r>
    </w:p>
    <w:p w14:paraId="09B877BA" w14:textId="77777777" w:rsidR="00325215" w:rsidRPr="00110292" w:rsidRDefault="00325215" w:rsidP="00427308">
      <w:pPr>
        <w:autoSpaceDE w:val="0"/>
        <w:autoSpaceDN w:val="0"/>
        <w:jc w:val="both"/>
        <w:rPr>
          <w:rFonts w:ascii="Arial Bold" w:hAnsi="Arial Bold"/>
          <w:b/>
          <w:bCs/>
        </w:rPr>
      </w:pPr>
    </w:p>
    <w:p w14:paraId="04D5DCD0" w14:textId="454166CB" w:rsidR="00325215" w:rsidRPr="00110292" w:rsidRDefault="00325215" w:rsidP="00427308">
      <w:pPr>
        <w:pStyle w:val="ListParagraph"/>
        <w:numPr>
          <w:ilvl w:val="0"/>
          <w:numId w:val="45"/>
        </w:numPr>
        <w:autoSpaceDE w:val="0"/>
        <w:autoSpaceDN w:val="0"/>
        <w:contextualSpacing/>
        <w:jc w:val="both"/>
        <w:rPr>
          <w:rFonts w:ascii="Arial Bold" w:hAnsi="Arial Bold"/>
          <w:b/>
          <w:bCs/>
          <w:color w:val="auto"/>
          <w:sz w:val="24"/>
          <w:szCs w:val="24"/>
        </w:rPr>
      </w:pPr>
      <w:r w:rsidRPr="00110292">
        <w:rPr>
          <w:rFonts w:ascii="Arial Bold" w:hAnsi="Arial Bold"/>
          <w:b/>
          <w:color w:val="auto"/>
          <w:sz w:val="24"/>
          <w:szCs w:val="24"/>
        </w:rPr>
        <w:t>Tackling poverty and inequality</w:t>
      </w:r>
    </w:p>
    <w:p w14:paraId="6F1FDA3D" w14:textId="77777777" w:rsidR="005441BD" w:rsidRPr="00110292" w:rsidRDefault="005441BD" w:rsidP="00427308">
      <w:pPr>
        <w:pStyle w:val="Heading2"/>
        <w:spacing w:before="480"/>
        <w:jc w:val="both"/>
      </w:pPr>
      <w:r w:rsidRPr="00110292">
        <w:t>Section 3 - Statutory Officer Clearance</w:t>
      </w:r>
    </w:p>
    <w:p w14:paraId="24836A31" w14:textId="642F4CE4" w:rsidR="00D27D5B" w:rsidRPr="00110292" w:rsidRDefault="00D27D5B" w:rsidP="00427308">
      <w:pPr>
        <w:spacing w:before="240"/>
        <w:jc w:val="both"/>
        <w:rPr>
          <w:sz w:val="28"/>
        </w:rPr>
      </w:pPr>
      <w:r w:rsidRPr="00110292">
        <w:rPr>
          <w:b/>
          <w:sz w:val="28"/>
        </w:rPr>
        <w:t xml:space="preserve">Statutory Officer:  </w:t>
      </w:r>
      <w:r w:rsidR="001474B3">
        <w:rPr>
          <w:b/>
          <w:sz w:val="28"/>
        </w:rPr>
        <w:t>Dawn Calvert</w:t>
      </w:r>
    </w:p>
    <w:p w14:paraId="608DAFF7" w14:textId="638C3F24" w:rsidR="00D27D5B" w:rsidRPr="00110292" w:rsidRDefault="00D27D5B" w:rsidP="00427308">
      <w:pPr>
        <w:jc w:val="both"/>
      </w:pPr>
      <w:r w:rsidRPr="00110292">
        <w:t>Signed by the Chief Financial Officer</w:t>
      </w:r>
    </w:p>
    <w:p w14:paraId="629867FF" w14:textId="77777777" w:rsidR="00D27D5B" w:rsidRPr="00110292" w:rsidRDefault="00D27D5B" w:rsidP="00427308">
      <w:pPr>
        <w:jc w:val="both"/>
        <w:rPr>
          <w:sz w:val="28"/>
        </w:rPr>
      </w:pPr>
    </w:p>
    <w:p w14:paraId="0BDA83DF" w14:textId="3F6927C6" w:rsidR="00D27D5B" w:rsidRPr="00110292" w:rsidRDefault="00D27D5B" w:rsidP="00427308">
      <w:pPr>
        <w:spacing w:after="480"/>
        <w:jc w:val="both"/>
        <w:rPr>
          <w:sz w:val="28"/>
        </w:rPr>
      </w:pPr>
      <w:r w:rsidRPr="00110292">
        <w:rPr>
          <w:b/>
          <w:sz w:val="28"/>
        </w:rPr>
        <w:t xml:space="preserve">Date:  </w:t>
      </w:r>
      <w:r w:rsidR="00D745FD">
        <w:rPr>
          <w:b/>
          <w:sz w:val="28"/>
        </w:rPr>
        <w:t>16/12/21</w:t>
      </w:r>
    </w:p>
    <w:p w14:paraId="5901BA82" w14:textId="0E7F987B" w:rsidR="00D27D5B" w:rsidRPr="00110292" w:rsidRDefault="00D27D5B" w:rsidP="00427308">
      <w:pPr>
        <w:jc w:val="both"/>
        <w:rPr>
          <w:sz w:val="28"/>
        </w:rPr>
      </w:pPr>
      <w:r w:rsidRPr="00110292">
        <w:rPr>
          <w:b/>
          <w:sz w:val="28"/>
        </w:rPr>
        <w:t xml:space="preserve">Statutory Officer:  </w:t>
      </w:r>
      <w:r w:rsidR="008204D9">
        <w:rPr>
          <w:b/>
          <w:sz w:val="28"/>
        </w:rPr>
        <w:t>Jessica Farmer</w:t>
      </w:r>
    </w:p>
    <w:p w14:paraId="37FF6CA1" w14:textId="77777777" w:rsidR="00D27D5B" w:rsidRPr="00110292" w:rsidRDefault="00D27D5B" w:rsidP="00427308">
      <w:pPr>
        <w:jc w:val="both"/>
        <w:rPr>
          <w:sz w:val="28"/>
        </w:rPr>
      </w:pPr>
    </w:p>
    <w:p w14:paraId="5CF72278" w14:textId="009256E7" w:rsidR="00D27D5B" w:rsidRPr="00110292" w:rsidRDefault="00D27D5B" w:rsidP="00427308">
      <w:pPr>
        <w:spacing w:after="480"/>
        <w:jc w:val="both"/>
        <w:rPr>
          <w:sz w:val="28"/>
        </w:rPr>
      </w:pPr>
      <w:r w:rsidRPr="00110292">
        <w:rPr>
          <w:b/>
          <w:sz w:val="28"/>
        </w:rPr>
        <w:t xml:space="preserve">Date:  </w:t>
      </w:r>
      <w:r w:rsidR="008204D9">
        <w:rPr>
          <w:b/>
          <w:sz w:val="28"/>
        </w:rPr>
        <w:t>14/12/21</w:t>
      </w:r>
    </w:p>
    <w:p w14:paraId="60CCDF64" w14:textId="634A330B" w:rsidR="00075E03" w:rsidRPr="00110292" w:rsidRDefault="00075E03" w:rsidP="00427308">
      <w:pPr>
        <w:jc w:val="both"/>
        <w:rPr>
          <w:sz w:val="28"/>
        </w:rPr>
      </w:pPr>
      <w:r w:rsidRPr="00110292">
        <w:rPr>
          <w:b/>
          <w:sz w:val="28"/>
        </w:rPr>
        <w:t xml:space="preserve">Chief Officer:  </w:t>
      </w:r>
      <w:r w:rsidR="005232A2">
        <w:rPr>
          <w:b/>
          <w:sz w:val="28"/>
        </w:rPr>
        <w:t>Tracey Connage</w:t>
      </w:r>
    </w:p>
    <w:p w14:paraId="2144D58E" w14:textId="15E667EA" w:rsidR="00075E03" w:rsidRPr="005232A2" w:rsidRDefault="005232A2" w:rsidP="00427308">
      <w:pPr>
        <w:jc w:val="both"/>
        <w:rPr>
          <w:szCs w:val="18"/>
        </w:rPr>
      </w:pPr>
      <w:r w:rsidRPr="005232A2">
        <w:rPr>
          <w:szCs w:val="18"/>
        </w:rPr>
        <w:t>Director of HROD</w:t>
      </w:r>
    </w:p>
    <w:p w14:paraId="432D3DCC" w14:textId="77777777" w:rsidR="005232A2" w:rsidRPr="00110292" w:rsidRDefault="005232A2" w:rsidP="00427308">
      <w:pPr>
        <w:jc w:val="both"/>
        <w:rPr>
          <w:sz w:val="28"/>
        </w:rPr>
      </w:pPr>
    </w:p>
    <w:p w14:paraId="68C16760" w14:textId="00F1B4CC" w:rsidR="00075E03" w:rsidRPr="00110292" w:rsidRDefault="00075E03" w:rsidP="00427308">
      <w:pPr>
        <w:spacing w:after="480"/>
        <w:jc w:val="both"/>
        <w:rPr>
          <w:sz w:val="28"/>
        </w:rPr>
      </w:pPr>
      <w:r w:rsidRPr="00110292">
        <w:rPr>
          <w:b/>
          <w:sz w:val="28"/>
        </w:rPr>
        <w:t xml:space="preserve">Date:  </w:t>
      </w:r>
      <w:r w:rsidR="005232A2">
        <w:rPr>
          <w:b/>
          <w:sz w:val="28"/>
        </w:rPr>
        <w:t>14/12/21</w:t>
      </w:r>
    </w:p>
    <w:p w14:paraId="5EA7AFF4" w14:textId="1FF9C9DD" w:rsidR="00075E03" w:rsidRPr="00110292" w:rsidRDefault="00075E03" w:rsidP="00427308">
      <w:pPr>
        <w:jc w:val="both"/>
        <w:rPr>
          <w:sz w:val="28"/>
        </w:rPr>
      </w:pPr>
      <w:r w:rsidRPr="00110292">
        <w:rPr>
          <w:b/>
          <w:sz w:val="28"/>
        </w:rPr>
        <w:lastRenderedPageBreak/>
        <w:t xml:space="preserve">Head of Procurement:  </w:t>
      </w:r>
      <w:r w:rsidR="001474B3">
        <w:rPr>
          <w:b/>
          <w:sz w:val="28"/>
        </w:rPr>
        <w:t>Nimesh Mehta</w:t>
      </w:r>
    </w:p>
    <w:p w14:paraId="62161AED" w14:textId="25BE3F35" w:rsidR="00075E03" w:rsidRPr="00110292" w:rsidRDefault="00075E03" w:rsidP="00427308">
      <w:pPr>
        <w:jc w:val="both"/>
      </w:pPr>
      <w:r w:rsidRPr="00110292">
        <w:t>by the Head of Procurement</w:t>
      </w:r>
    </w:p>
    <w:p w14:paraId="6519F07A" w14:textId="77777777" w:rsidR="00075E03" w:rsidRPr="00110292" w:rsidRDefault="00075E03" w:rsidP="00427308">
      <w:pPr>
        <w:jc w:val="both"/>
        <w:rPr>
          <w:sz w:val="28"/>
        </w:rPr>
      </w:pPr>
    </w:p>
    <w:p w14:paraId="2F2B66B1" w14:textId="1803A0A3" w:rsidR="00075E03" w:rsidRPr="00110292" w:rsidRDefault="00075E03" w:rsidP="00427308">
      <w:pPr>
        <w:spacing w:after="480"/>
        <w:jc w:val="both"/>
        <w:rPr>
          <w:sz w:val="28"/>
        </w:rPr>
      </w:pPr>
      <w:r w:rsidRPr="00110292">
        <w:rPr>
          <w:b/>
          <w:sz w:val="28"/>
        </w:rPr>
        <w:t xml:space="preserve">Date:  </w:t>
      </w:r>
      <w:r w:rsidR="005232A2">
        <w:rPr>
          <w:b/>
          <w:sz w:val="28"/>
        </w:rPr>
        <w:t>15/12/21</w:t>
      </w:r>
    </w:p>
    <w:p w14:paraId="66F40407" w14:textId="77777777" w:rsidR="00D27D5B" w:rsidRPr="00110292" w:rsidRDefault="00D27D5B" w:rsidP="00427308">
      <w:pPr>
        <w:pStyle w:val="Heading2"/>
        <w:spacing w:after="240"/>
        <w:jc w:val="both"/>
      </w:pPr>
      <w:r w:rsidRPr="00110292">
        <w:t>Mandatory Checks</w:t>
      </w:r>
    </w:p>
    <w:p w14:paraId="7D605383" w14:textId="619B8AAB" w:rsidR="00D27D5B" w:rsidRPr="00110292" w:rsidRDefault="00D27D5B" w:rsidP="00427308">
      <w:pPr>
        <w:pStyle w:val="Heading3"/>
        <w:ind w:left="0" w:firstLine="0"/>
        <w:rPr>
          <w:i/>
          <w:sz w:val="24"/>
          <w:szCs w:val="24"/>
        </w:rPr>
      </w:pPr>
      <w:r w:rsidRPr="00110292">
        <w:t xml:space="preserve">Ward Councillors notified:  </w:t>
      </w:r>
      <w:r w:rsidR="000F3351">
        <w:t>No</w:t>
      </w:r>
    </w:p>
    <w:p w14:paraId="7370C9EA" w14:textId="06C3F18E" w:rsidR="005158B7" w:rsidRPr="00110292" w:rsidRDefault="00D27D5B" w:rsidP="00427308">
      <w:pPr>
        <w:pStyle w:val="Heading3"/>
        <w:spacing w:before="240"/>
      </w:pPr>
      <w:r w:rsidRPr="00110292">
        <w:t xml:space="preserve">EqIA carried out:  </w:t>
      </w:r>
      <w:r w:rsidR="000F3351">
        <w:t>No</w:t>
      </w:r>
    </w:p>
    <w:p w14:paraId="1F5D9269" w14:textId="77777777" w:rsidR="005441BD" w:rsidRPr="00110292" w:rsidRDefault="005441BD" w:rsidP="00427308">
      <w:pPr>
        <w:pStyle w:val="Heading2"/>
        <w:spacing w:before="480" w:after="240"/>
        <w:jc w:val="both"/>
      </w:pPr>
      <w:r w:rsidRPr="00110292">
        <w:t xml:space="preserve">Section </w:t>
      </w:r>
      <w:r w:rsidR="00B8374D" w:rsidRPr="00110292">
        <w:t>4</w:t>
      </w:r>
      <w:r w:rsidRPr="00110292">
        <w:t xml:space="preserve"> - Contact Details and Background Papers</w:t>
      </w:r>
    </w:p>
    <w:p w14:paraId="63C69737" w14:textId="41307268" w:rsidR="005441BD" w:rsidRDefault="005441BD" w:rsidP="00427308">
      <w:pPr>
        <w:pStyle w:val="Infotext"/>
        <w:jc w:val="both"/>
      </w:pPr>
      <w:r w:rsidRPr="00110292">
        <w:rPr>
          <w:b/>
        </w:rPr>
        <w:t>Contact:</w:t>
      </w:r>
      <w:r w:rsidR="005158B7" w:rsidRPr="00110292">
        <w:rPr>
          <w:b/>
        </w:rPr>
        <w:t xml:space="preserve"> </w:t>
      </w:r>
      <w:r w:rsidR="005158B7" w:rsidRPr="00110292">
        <w:t xml:space="preserve">Shumailla Dar, Head of Equality, </w:t>
      </w:r>
      <w:proofErr w:type="gramStart"/>
      <w:r w:rsidR="005158B7" w:rsidRPr="00110292">
        <w:t>Diversity</w:t>
      </w:r>
      <w:proofErr w:type="gramEnd"/>
      <w:r w:rsidR="005158B7" w:rsidRPr="00110292">
        <w:t xml:space="preserve"> and Inclusion, </w:t>
      </w:r>
      <w:hyperlink r:id="rId13" w:history="1">
        <w:r w:rsidR="0039667A" w:rsidRPr="00070054">
          <w:rPr>
            <w:rStyle w:val="Hyperlink"/>
          </w:rPr>
          <w:t>shumailla.dar@harrow.gov.uk</w:t>
        </w:r>
      </w:hyperlink>
    </w:p>
    <w:p w14:paraId="6D0C1ED1" w14:textId="393757AE" w:rsidR="0039667A" w:rsidRPr="00110292" w:rsidRDefault="0039667A" w:rsidP="00427308">
      <w:pPr>
        <w:pStyle w:val="Infotext"/>
        <w:jc w:val="both"/>
      </w:pPr>
      <w:r>
        <w:t>Tel:</w:t>
      </w:r>
      <w:r w:rsidR="001474B3">
        <w:t xml:space="preserve"> 07874891502</w:t>
      </w:r>
    </w:p>
    <w:p w14:paraId="2837EF88" w14:textId="77777777" w:rsidR="005158B7" w:rsidRPr="00110292" w:rsidRDefault="005441BD" w:rsidP="00427308">
      <w:pPr>
        <w:pStyle w:val="Infotext"/>
        <w:spacing w:before="240"/>
        <w:jc w:val="both"/>
      </w:pPr>
      <w:r w:rsidRPr="00110292">
        <w:rPr>
          <w:b/>
        </w:rPr>
        <w:t>Background Papers:</w:t>
      </w:r>
      <w:r w:rsidRPr="00110292">
        <w:t xml:space="preserve"> </w:t>
      </w:r>
    </w:p>
    <w:p w14:paraId="6D94342D" w14:textId="66B8D5A1" w:rsidR="005158B7" w:rsidRPr="00110292" w:rsidRDefault="00E325BF" w:rsidP="00427308">
      <w:pPr>
        <w:pStyle w:val="Infotext"/>
        <w:spacing w:before="240"/>
        <w:jc w:val="both"/>
        <w:rPr>
          <w:rFonts w:cs="Arial"/>
          <w:b/>
          <w:bCs/>
          <w:iCs/>
          <w:szCs w:val="24"/>
          <w:lang w:eastAsia="en-GB"/>
        </w:rPr>
      </w:pPr>
      <w:r>
        <w:t>None.</w:t>
      </w:r>
    </w:p>
    <w:p w14:paraId="1D44AB99" w14:textId="77777777" w:rsidR="005158B7" w:rsidRPr="00110292" w:rsidRDefault="005158B7" w:rsidP="00427308">
      <w:pPr>
        <w:pStyle w:val="Infotext"/>
        <w:spacing w:before="240"/>
        <w:jc w:val="both"/>
        <w:rPr>
          <w:rFonts w:cs="Arial"/>
          <w:sz w:val="24"/>
          <w:szCs w:val="22"/>
        </w:rPr>
      </w:pPr>
    </w:p>
    <w:sectPr w:rsidR="005158B7" w:rsidRPr="00110292" w:rsidSect="005C1159">
      <w:type w:val="continuous"/>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4ECA9" w14:textId="77777777" w:rsidR="008974F8" w:rsidRDefault="008974F8">
      <w:r>
        <w:separator/>
      </w:r>
    </w:p>
  </w:endnote>
  <w:endnote w:type="continuationSeparator" w:id="0">
    <w:p w14:paraId="30065237" w14:textId="77777777" w:rsidR="008974F8" w:rsidRDefault="0089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FC201" w14:textId="77777777" w:rsidR="002D7BE3" w:rsidRDefault="002D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81B4" w14:textId="77777777" w:rsidR="002D7BE3" w:rsidRDefault="002D7BE3" w:rsidP="002D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44773" w14:textId="77777777" w:rsidR="008974F8" w:rsidRDefault="008974F8">
      <w:r>
        <w:separator/>
      </w:r>
    </w:p>
  </w:footnote>
  <w:footnote w:type="continuationSeparator" w:id="0">
    <w:p w14:paraId="2D4A205D" w14:textId="77777777" w:rsidR="008974F8" w:rsidRDefault="00897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83B5E"/>
    <w:multiLevelType w:val="hybridMultilevel"/>
    <w:tmpl w:val="8A46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700A2"/>
    <w:multiLevelType w:val="hybridMultilevel"/>
    <w:tmpl w:val="03680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482151"/>
    <w:multiLevelType w:val="hybridMultilevel"/>
    <w:tmpl w:val="BDD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05B4D"/>
    <w:multiLevelType w:val="hybridMultilevel"/>
    <w:tmpl w:val="CE2E3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0A7806"/>
    <w:multiLevelType w:val="hybridMultilevel"/>
    <w:tmpl w:val="86EEF1C2"/>
    <w:lvl w:ilvl="0" w:tplc="56FA2674">
      <w:start w:val="1"/>
      <w:numFmt w:val="lowerLetter"/>
      <w:lvlText w:val="(%1)"/>
      <w:lvlJc w:val="left"/>
      <w:pPr>
        <w:ind w:left="435" w:hanging="367"/>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7"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5624F"/>
    <w:multiLevelType w:val="hybridMultilevel"/>
    <w:tmpl w:val="9ED8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15:restartNumberingAfterBreak="0">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F974194"/>
    <w:multiLevelType w:val="hybridMultilevel"/>
    <w:tmpl w:val="E91445AC"/>
    <w:lvl w:ilvl="0" w:tplc="11C89E9A">
      <w:start w:val="1"/>
      <w:numFmt w:val="bullet"/>
      <w:lvlText w:val=""/>
      <w:lvlJc w:val="left"/>
      <w:pPr>
        <w:ind w:left="895" w:hanging="360"/>
      </w:pPr>
      <w:rPr>
        <w:rFonts w:ascii="Symbol" w:hAnsi="Symbol" w:hint="default"/>
        <w:color w:val="auto"/>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42" w15:restartNumberingAfterBreak="0">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10283B"/>
    <w:multiLevelType w:val="hybridMultilevel"/>
    <w:tmpl w:val="19E81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982CEA"/>
    <w:multiLevelType w:val="hybridMultilevel"/>
    <w:tmpl w:val="9358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DB2807"/>
    <w:multiLevelType w:val="hybridMultilevel"/>
    <w:tmpl w:val="BF84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15"/>
  </w:num>
  <w:num w:numId="4">
    <w:abstractNumId w:val="33"/>
  </w:num>
  <w:num w:numId="5">
    <w:abstractNumId w:val="12"/>
  </w:num>
  <w:num w:numId="6">
    <w:abstractNumId w:val="28"/>
  </w:num>
  <w:num w:numId="7">
    <w:abstractNumId w:val="21"/>
  </w:num>
  <w:num w:numId="8">
    <w:abstractNumId w:val="9"/>
  </w:num>
  <w:num w:numId="9">
    <w:abstractNumId w:val="8"/>
  </w:num>
  <w:num w:numId="10">
    <w:abstractNumId w:val="17"/>
  </w:num>
  <w:num w:numId="11">
    <w:abstractNumId w:val="29"/>
  </w:num>
  <w:num w:numId="12">
    <w:abstractNumId w:val="22"/>
  </w:num>
  <w:num w:numId="13">
    <w:abstractNumId w:val="20"/>
  </w:num>
  <w:num w:numId="14">
    <w:abstractNumId w:val="25"/>
  </w:num>
  <w:num w:numId="15">
    <w:abstractNumId w:val="38"/>
  </w:num>
  <w:num w:numId="16">
    <w:abstractNumId w:val="7"/>
  </w:num>
  <w:num w:numId="17">
    <w:abstractNumId w:val="46"/>
  </w:num>
  <w:num w:numId="18">
    <w:abstractNumId w:val="13"/>
  </w:num>
  <w:num w:numId="19">
    <w:abstractNumId w:val="47"/>
  </w:num>
  <w:num w:numId="20">
    <w:abstractNumId w:val="23"/>
  </w:num>
  <w:num w:numId="21">
    <w:abstractNumId w:val="27"/>
  </w:num>
  <w:num w:numId="22">
    <w:abstractNumId w:val="32"/>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42"/>
  </w:num>
  <w:num w:numId="27">
    <w:abstractNumId w:val="24"/>
  </w:num>
  <w:num w:numId="28">
    <w:abstractNumId w:val="18"/>
  </w:num>
  <w:num w:numId="29">
    <w:abstractNumId w:val="40"/>
  </w:num>
  <w:num w:numId="30">
    <w:abstractNumId w:val="1"/>
  </w:num>
  <w:num w:numId="31">
    <w:abstractNumId w:val="30"/>
  </w:num>
  <w:num w:numId="32">
    <w:abstractNumId w:val="5"/>
  </w:num>
  <w:num w:numId="33">
    <w:abstractNumId w:val="3"/>
  </w:num>
  <w:num w:numId="34">
    <w:abstractNumId w:val="37"/>
  </w:num>
  <w:num w:numId="35">
    <w:abstractNumId w:val="48"/>
  </w:num>
  <w:num w:numId="36">
    <w:abstractNumId w:val="34"/>
  </w:num>
  <w:num w:numId="37">
    <w:abstractNumId w:val="2"/>
  </w:num>
  <w:num w:numId="38">
    <w:abstractNumId w:val="14"/>
  </w:num>
  <w:num w:numId="39">
    <w:abstractNumId w:val="26"/>
  </w:num>
  <w:num w:numId="40">
    <w:abstractNumId w:val="44"/>
  </w:num>
  <w:num w:numId="41">
    <w:abstractNumId w:val="19"/>
  </w:num>
  <w:num w:numId="42">
    <w:abstractNumId w:val="11"/>
  </w:num>
  <w:num w:numId="43">
    <w:abstractNumId w:val="16"/>
  </w:num>
  <w:num w:numId="44">
    <w:abstractNumId w:val="41"/>
  </w:num>
  <w:num w:numId="45">
    <w:abstractNumId w:val="43"/>
  </w:num>
  <w:num w:numId="46">
    <w:abstractNumId w:val="6"/>
  </w:num>
  <w:num w:numId="47">
    <w:abstractNumId w:val="4"/>
  </w:num>
  <w:num w:numId="48">
    <w:abstractNumId w:val="0"/>
  </w:num>
  <w:num w:numId="49">
    <w:abstractNumId w:val="4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11329"/>
    <w:rsid w:val="00012D45"/>
    <w:rsid w:val="000164D1"/>
    <w:rsid w:val="000168D3"/>
    <w:rsid w:val="00016FBE"/>
    <w:rsid w:val="00026E61"/>
    <w:rsid w:val="00031ACA"/>
    <w:rsid w:val="00036698"/>
    <w:rsid w:val="00063133"/>
    <w:rsid w:val="00075E03"/>
    <w:rsid w:val="000A2981"/>
    <w:rsid w:val="000A3C85"/>
    <w:rsid w:val="000B76D7"/>
    <w:rsid w:val="000C31CE"/>
    <w:rsid w:val="000D382D"/>
    <w:rsid w:val="000D5D8B"/>
    <w:rsid w:val="000E1217"/>
    <w:rsid w:val="000E1899"/>
    <w:rsid w:val="000F3351"/>
    <w:rsid w:val="000F665E"/>
    <w:rsid w:val="00100D96"/>
    <w:rsid w:val="00110292"/>
    <w:rsid w:val="00140346"/>
    <w:rsid w:val="00140B71"/>
    <w:rsid w:val="001474B3"/>
    <w:rsid w:val="00150687"/>
    <w:rsid w:val="0015356A"/>
    <w:rsid w:val="001669A0"/>
    <w:rsid w:val="00167ACC"/>
    <w:rsid w:val="00170F50"/>
    <w:rsid w:val="00191840"/>
    <w:rsid w:val="001A4C6D"/>
    <w:rsid w:val="001C23D9"/>
    <w:rsid w:val="001C2940"/>
    <w:rsid w:val="001D1F6F"/>
    <w:rsid w:val="001E282E"/>
    <w:rsid w:val="001E3DDF"/>
    <w:rsid w:val="001E4F2E"/>
    <w:rsid w:val="001F31D6"/>
    <w:rsid w:val="001F6561"/>
    <w:rsid w:val="002034B3"/>
    <w:rsid w:val="00211ECF"/>
    <w:rsid w:val="0022279D"/>
    <w:rsid w:val="002253B2"/>
    <w:rsid w:val="00236583"/>
    <w:rsid w:val="002473C5"/>
    <w:rsid w:val="002477ED"/>
    <w:rsid w:val="0025320D"/>
    <w:rsid w:val="0028103C"/>
    <w:rsid w:val="00284269"/>
    <w:rsid w:val="002A6EF5"/>
    <w:rsid w:val="002C3726"/>
    <w:rsid w:val="002D0A58"/>
    <w:rsid w:val="002D45D5"/>
    <w:rsid w:val="002D7BE3"/>
    <w:rsid w:val="002F0364"/>
    <w:rsid w:val="00313F3C"/>
    <w:rsid w:val="00323250"/>
    <w:rsid w:val="00325215"/>
    <w:rsid w:val="0034748A"/>
    <w:rsid w:val="00351814"/>
    <w:rsid w:val="00356159"/>
    <w:rsid w:val="00362B26"/>
    <w:rsid w:val="003721C8"/>
    <w:rsid w:val="00377263"/>
    <w:rsid w:val="0039332A"/>
    <w:rsid w:val="0039667A"/>
    <w:rsid w:val="003A783B"/>
    <w:rsid w:val="003B53F4"/>
    <w:rsid w:val="003C723A"/>
    <w:rsid w:val="003D31C2"/>
    <w:rsid w:val="003D78F6"/>
    <w:rsid w:val="003F4A5F"/>
    <w:rsid w:val="004011F9"/>
    <w:rsid w:val="00402E49"/>
    <w:rsid w:val="00410C2B"/>
    <w:rsid w:val="00427308"/>
    <w:rsid w:val="00432050"/>
    <w:rsid w:val="0043479D"/>
    <w:rsid w:val="00447899"/>
    <w:rsid w:val="00455564"/>
    <w:rsid w:val="00462114"/>
    <w:rsid w:val="00486170"/>
    <w:rsid w:val="0049070E"/>
    <w:rsid w:val="004A2CFB"/>
    <w:rsid w:val="004C5899"/>
    <w:rsid w:val="004D744C"/>
    <w:rsid w:val="004E240D"/>
    <w:rsid w:val="004E41D8"/>
    <w:rsid w:val="004E4261"/>
    <w:rsid w:val="004E7169"/>
    <w:rsid w:val="004F4D83"/>
    <w:rsid w:val="005158B7"/>
    <w:rsid w:val="005200DF"/>
    <w:rsid w:val="00522FEC"/>
    <w:rsid w:val="005232A2"/>
    <w:rsid w:val="005235C6"/>
    <w:rsid w:val="00527689"/>
    <w:rsid w:val="005337B2"/>
    <w:rsid w:val="005441BD"/>
    <w:rsid w:val="0054587F"/>
    <w:rsid w:val="00555292"/>
    <w:rsid w:val="0056035B"/>
    <w:rsid w:val="00573704"/>
    <w:rsid w:val="00583419"/>
    <w:rsid w:val="00587227"/>
    <w:rsid w:val="005961BE"/>
    <w:rsid w:val="005A051A"/>
    <w:rsid w:val="005B297F"/>
    <w:rsid w:val="005B2F47"/>
    <w:rsid w:val="005B3E25"/>
    <w:rsid w:val="005B712A"/>
    <w:rsid w:val="005C1159"/>
    <w:rsid w:val="005C49A2"/>
    <w:rsid w:val="005C5F36"/>
    <w:rsid w:val="005D0050"/>
    <w:rsid w:val="005D67ED"/>
    <w:rsid w:val="005D7E0F"/>
    <w:rsid w:val="005E018B"/>
    <w:rsid w:val="005F5698"/>
    <w:rsid w:val="00602CE7"/>
    <w:rsid w:val="0060678B"/>
    <w:rsid w:val="00612A64"/>
    <w:rsid w:val="00617477"/>
    <w:rsid w:val="00617F63"/>
    <w:rsid w:val="006218AC"/>
    <w:rsid w:val="0064262B"/>
    <w:rsid w:val="00650699"/>
    <w:rsid w:val="0065142A"/>
    <w:rsid w:val="006536CA"/>
    <w:rsid w:val="00656C6A"/>
    <w:rsid w:val="00665925"/>
    <w:rsid w:val="00665A12"/>
    <w:rsid w:val="006668DA"/>
    <w:rsid w:val="00674F13"/>
    <w:rsid w:val="006843EC"/>
    <w:rsid w:val="006963FD"/>
    <w:rsid w:val="00697A35"/>
    <w:rsid w:val="006B5F35"/>
    <w:rsid w:val="006C44D8"/>
    <w:rsid w:val="006C484D"/>
    <w:rsid w:val="006D127E"/>
    <w:rsid w:val="006D2188"/>
    <w:rsid w:val="006E4962"/>
    <w:rsid w:val="006E5385"/>
    <w:rsid w:val="006E692F"/>
    <w:rsid w:val="00700D3A"/>
    <w:rsid w:val="0070496A"/>
    <w:rsid w:val="00713DA0"/>
    <w:rsid w:val="00720786"/>
    <w:rsid w:val="00722A31"/>
    <w:rsid w:val="00730223"/>
    <w:rsid w:val="007367CF"/>
    <w:rsid w:val="00744A1A"/>
    <w:rsid w:val="00776C06"/>
    <w:rsid w:val="007846BF"/>
    <w:rsid w:val="0078661E"/>
    <w:rsid w:val="0079450E"/>
    <w:rsid w:val="007A012E"/>
    <w:rsid w:val="007A216A"/>
    <w:rsid w:val="007B1514"/>
    <w:rsid w:val="007B2417"/>
    <w:rsid w:val="007D1C96"/>
    <w:rsid w:val="007D68AF"/>
    <w:rsid w:val="007D7E0B"/>
    <w:rsid w:val="0081262D"/>
    <w:rsid w:val="008204D9"/>
    <w:rsid w:val="00823802"/>
    <w:rsid w:val="00841A0F"/>
    <w:rsid w:val="008779ED"/>
    <w:rsid w:val="00881027"/>
    <w:rsid w:val="00894FDB"/>
    <w:rsid w:val="008974F8"/>
    <w:rsid w:val="008A408B"/>
    <w:rsid w:val="008A63AD"/>
    <w:rsid w:val="008D0B76"/>
    <w:rsid w:val="008D5B3D"/>
    <w:rsid w:val="008F1A15"/>
    <w:rsid w:val="00915FD6"/>
    <w:rsid w:val="009238B6"/>
    <w:rsid w:val="00924144"/>
    <w:rsid w:val="0094248C"/>
    <w:rsid w:val="00953767"/>
    <w:rsid w:val="00953A14"/>
    <w:rsid w:val="009559B1"/>
    <w:rsid w:val="009670A0"/>
    <w:rsid w:val="009761ED"/>
    <w:rsid w:val="0099076B"/>
    <w:rsid w:val="00991255"/>
    <w:rsid w:val="009C069E"/>
    <w:rsid w:val="009D56DA"/>
    <w:rsid w:val="009E581D"/>
    <w:rsid w:val="009F14C8"/>
    <w:rsid w:val="009F71DA"/>
    <w:rsid w:val="00A137E7"/>
    <w:rsid w:val="00A2102D"/>
    <w:rsid w:val="00A2454D"/>
    <w:rsid w:val="00A24E62"/>
    <w:rsid w:val="00A274AC"/>
    <w:rsid w:val="00A337D4"/>
    <w:rsid w:val="00A406F3"/>
    <w:rsid w:val="00A42A33"/>
    <w:rsid w:val="00A501C7"/>
    <w:rsid w:val="00A5613C"/>
    <w:rsid w:val="00A66832"/>
    <w:rsid w:val="00A80F10"/>
    <w:rsid w:val="00A927BB"/>
    <w:rsid w:val="00AA1A7D"/>
    <w:rsid w:val="00AA3136"/>
    <w:rsid w:val="00AA7C24"/>
    <w:rsid w:val="00AB28BD"/>
    <w:rsid w:val="00AB2A8D"/>
    <w:rsid w:val="00AD41AA"/>
    <w:rsid w:val="00AD687C"/>
    <w:rsid w:val="00AE3FEB"/>
    <w:rsid w:val="00AE452B"/>
    <w:rsid w:val="00AE61A2"/>
    <w:rsid w:val="00AF0216"/>
    <w:rsid w:val="00B017D0"/>
    <w:rsid w:val="00B05D36"/>
    <w:rsid w:val="00B21131"/>
    <w:rsid w:val="00B26D5D"/>
    <w:rsid w:val="00B26D7C"/>
    <w:rsid w:val="00B44E2F"/>
    <w:rsid w:val="00B4653A"/>
    <w:rsid w:val="00B52F9B"/>
    <w:rsid w:val="00B5672C"/>
    <w:rsid w:val="00B64FFA"/>
    <w:rsid w:val="00B65EB5"/>
    <w:rsid w:val="00B66D7C"/>
    <w:rsid w:val="00B767CF"/>
    <w:rsid w:val="00B82309"/>
    <w:rsid w:val="00B8374D"/>
    <w:rsid w:val="00BA12E6"/>
    <w:rsid w:val="00BB1D6B"/>
    <w:rsid w:val="00BB7D38"/>
    <w:rsid w:val="00BB7DD3"/>
    <w:rsid w:val="00BC1CC7"/>
    <w:rsid w:val="00BC24FF"/>
    <w:rsid w:val="00C03343"/>
    <w:rsid w:val="00C1148C"/>
    <w:rsid w:val="00C257D1"/>
    <w:rsid w:val="00C316E9"/>
    <w:rsid w:val="00C37118"/>
    <w:rsid w:val="00C4117C"/>
    <w:rsid w:val="00C55590"/>
    <w:rsid w:val="00C577FC"/>
    <w:rsid w:val="00C63334"/>
    <w:rsid w:val="00C63F0B"/>
    <w:rsid w:val="00C674CF"/>
    <w:rsid w:val="00C71597"/>
    <w:rsid w:val="00C928FC"/>
    <w:rsid w:val="00CB202F"/>
    <w:rsid w:val="00CC306F"/>
    <w:rsid w:val="00CD16E4"/>
    <w:rsid w:val="00CD33DB"/>
    <w:rsid w:val="00CD3CC4"/>
    <w:rsid w:val="00CE23BC"/>
    <w:rsid w:val="00CE2D17"/>
    <w:rsid w:val="00CE76B5"/>
    <w:rsid w:val="00CF1F44"/>
    <w:rsid w:val="00D02A0F"/>
    <w:rsid w:val="00D107B2"/>
    <w:rsid w:val="00D27689"/>
    <w:rsid w:val="00D27D5B"/>
    <w:rsid w:val="00D33AE8"/>
    <w:rsid w:val="00D52B95"/>
    <w:rsid w:val="00D54435"/>
    <w:rsid w:val="00D612D2"/>
    <w:rsid w:val="00D67B11"/>
    <w:rsid w:val="00D745FD"/>
    <w:rsid w:val="00D763C0"/>
    <w:rsid w:val="00D77C85"/>
    <w:rsid w:val="00D8409F"/>
    <w:rsid w:val="00D85E65"/>
    <w:rsid w:val="00D87F2B"/>
    <w:rsid w:val="00D90CC0"/>
    <w:rsid w:val="00DB16C4"/>
    <w:rsid w:val="00DB1857"/>
    <w:rsid w:val="00DB1AB3"/>
    <w:rsid w:val="00DD6FAA"/>
    <w:rsid w:val="00DE6CC7"/>
    <w:rsid w:val="00DF4690"/>
    <w:rsid w:val="00E066F6"/>
    <w:rsid w:val="00E07B9C"/>
    <w:rsid w:val="00E24739"/>
    <w:rsid w:val="00E3214C"/>
    <w:rsid w:val="00E325BF"/>
    <w:rsid w:val="00E37C3B"/>
    <w:rsid w:val="00E41F17"/>
    <w:rsid w:val="00E446E9"/>
    <w:rsid w:val="00E66A62"/>
    <w:rsid w:val="00E71FD8"/>
    <w:rsid w:val="00E72FDB"/>
    <w:rsid w:val="00E809B9"/>
    <w:rsid w:val="00E91983"/>
    <w:rsid w:val="00E94CBE"/>
    <w:rsid w:val="00EA5CE4"/>
    <w:rsid w:val="00EC67CC"/>
    <w:rsid w:val="00ED583F"/>
    <w:rsid w:val="00EE1055"/>
    <w:rsid w:val="00EE7076"/>
    <w:rsid w:val="00EF3F24"/>
    <w:rsid w:val="00EF59BB"/>
    <w:rsid w:val="00EF6CBF"/>
    <w:rsid w:val="00F27113"/>
    <w:rsid w:val="00F373AE"/>
    <w:rsid w:val="00F524B5"/>
    <w:rsid w:val="00F57B0C"/>
    <w:rsid w:val="00F609AD"/>
    <w:rsid w:val="00F62788"/>
    <w:rsid w:val="00F73BD1"/>
    <w:rsid w:val="00F76610"/>
    <w:rsid w:val="00F76A77"/>
    <w:rsid w:val="00F9251B"/>
    <w:rsid w:val="00FA0668"/>
    <w:rsid w:val="00FC115E"/>
    <w:rsid w:val="00FC1EF4"/>
    <w:rsid w:val="00FC2AC3"/>
    <w:rsid w:val="00FC6000"/>
    <w:rsid w:val="00FD310B"/>
    <w:rsid w:val="00FE3F99"/>
    <w:rsid w:val="078409D7"/>
    <w:rsid w:val="0BFE8468"/>
    <w:rsid w:val="0C95A15E"/>
    <w:rsid w:val="1645845D"/>
    <w:rsid w:val="19893B6B"/>
    <w:rsid w:val="2B6C4746"/>
    <w:rsid w:val="32CAFEBE"/>
    <w:rsid w:val="36C17FBE"/>
    <w:rsid w:val="44463981"/>
    <w:rsid w:val="49B219C5"/>
    <w:rsid w:val="4A93A906"/>
    <w:rsid w:val="4C439449"/>
    <w:rsid w:val="595D1A15"/>
    <w:rsid w:val="5BDDD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C3E243"/>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paragraph" w:customStyle="1" w:styleId="Content">
    <w:name w:val="Content"/>
    <w:basedOn w:val="Normal"/>
    <w:link w:val="ContentChar"/>
    <w:qFormat/>
    <w:rsid w:val="005158B7"/>
    <w:pPr>
      <w:spacing w:line="276" w:lineRule="auto"/>
    </w:pPr>
    <w:rPr>
      <w:rFonts w:asciiTheme="minorHAnsi" w:eastAsiaTheme="minorEastAsia" w:hAnsiTheme="minorHAnsi" w:cstheme="minorBidi"/>
      <w:color w:val="1F497D" w:themeColor="text2"/>
      <w:sz w:val="28"/>
      <w:szCs w:val="22"/>
      <w:lang w:val="en-US"/>
    </w:rPr>
  </w:style>
  <w:style w:type="character" w:customStyle="1" w:styleId="ContentChar">
    <w:name w:val="Content Char"/>
    <w:basedOn w:val="DefaultParagraphFont"/>
    <w:link w:val="Content"/>
    <w:rsid w:val="005158B7"/>
    <w:rPr>
      <w:rFonts w:asciiTheme="minorHAnsi" w:eastAsiaTheme="minorEastAsia" w:hAnsiTheme="minorHAnsi" w:cstheme="minorBidi"/>
      <w:color w:val="1F497D" w:themeColor="text2"/>
      <w:sz w:val="28"/>
      <w:szCs w:val="22"/>
      <w:lang w:val="en-US" w:eastAsia="en-US"/>
    </w:rPr>
  </w:style>
  <w:style w:type="paragraph" w:customStyle="1" w:styleId="Default">
    <w:name w:val="Default"/>
    <w:rsid w:val="005158B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83419"/>
    <w:rPr>
      <w:sz w:val="16"/>
      <w:szCs w:val="16"/>
    </w:rPr>
  </w:style>
  <w:style w:type="paragraph" w:styleId="CommentText">
    <w:name w:val="annotation text"/>
    <w:basedOn w:val="Normal"/>
    <w:link w:val="CommentTextChar"/>
    <w:semiHidden/>
    <w:unhideWhenUsed/>
    <w:rsid w:val="00583419"/>
    <w:rPr>
      <w:sz w:val="20"/>
    </w:rPr>
  </w:style>
  <w:style w:type="character" w:customStyle="1" w:styleId="CommentTextChar">
    <w:name w:val="Comment Text Char"/>
    <w:basedOn w:val="DefaultParagraphFont"/>
    <w:link w:val="CommentText"/>
    <w:semiHidden/>
    <w:rsid w:val="00583419"/>
    <w:rPr>
      <w:rFonts w:ascii="Arial" w:hAnsi="Arial"/>
      <w:lang w:eastAsia="en-US"/>
    </w:rPr>
  </w:style>
  <w:style w:type="paragraph" w:styleId="CommentSubject">
    <w:name w:val="annotation subject"/>
    <w:basedOn w:val="CommentText"/>
    <w:next w:val="CommentText"/>
    <w:link w:val="CommentSubjectChar"/>
    <w:semiHidden/>
    <w:unhideWhenUsed/>
    <w:rsid w:val="00583419"/>
    <w:rPr>
      <w:b/>
      <w:bCs/>
    </w:rPr>
  </w:style>
  <w:style w:type="character" w:customStyle="1" w:styleId="CommentSubjectChar">
    <w:name w:val="Comment Subject Char"/>
    <w:basedOn w:val="CommentTextChar"/>
    <w:link w:val="CommentSubject"/>
    <w:semiHidden/>
    <w:rsid w:val="0058341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umailla.dar@harrow.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b1389c9-9d35-4de0-bb42-1f86bf4dc98b">
      <UserInfo>
        <DisplayName>Tracey Connage</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FA061-2DE8-47AC-B80E-2C4AA64F5490}">
  <ds:schemaRefs>
    <ds:schemaRef ds:uri="http://schemas.microsoft.com/sharepoint/v3/contenttype/forms"/>
  </ds:schemaRefs>
</ds:datastoreItem>
</file>

<file path=customXml/itemProps2.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 ds:uri="3b1389c9-9d35-4de0-bb42-1f86bf4dc98b"/>
  </ds:schemaRefs>
</ds:datastoreItem>
</file>

<file path=customXml/itemProps3.xml><?xml version="1.0" encoding="utf-8"?>
<ds:datastoreItem xmlns:ds="http://schemas.openxmlformats.org/officeDocument/2006/customXml" ds:itemID="{A3687620-7C40-4325-AE8B-50F54D1B5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1465</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3</cp:revision>
  <cp:lastPrinted>2014-11-17T16:34:00Z</cp:lastPrinted>
  <dcterms:created xsi:type="dcterms:W3CDTF">2021-12-17T10:33:00Z</dcterms:created>
  <dcterms:modified xsi:type="dcterms:W3CDTF">2021-12-17T10:46:00Z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ies>
</file>